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2"/>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9"/>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jc w:val="center"/>
        <w:textAlignment w:val="auto"/>
        <w:rPr>
          <w:rFonts w:hint="default" w:ascii="Times New Roman" w:hAnsi="Times New Roman" w:eastAsia="方正小标宋简体" w:cs="Times New Roman"/>
          <w:color w:val="000000"/>
          <w:spacing w:val="-4"/>
          <w:sz w:val="44"/>
          <w:szCs w:val="44"/>
        </w:rPr>
      </w:pPr>
      <w:r>
        <w:rPr>
          <w:rFonts w:hint="default" w:ascii="Times New Roman" w:hAnsi="Times New Roman" w:eastAsia="方正小标宋简体" w:cs="Times New Roman"/>
          <w:color w:val="000000"/>
          <w:spacing w:val="-4"/>
          <w:sz w:val="44"/>
          <w:szCs w:val="44"/>
          <w:lang w:eastAsia="zh-CN"/>
        </w:rPr>
        <w:t>大英县商</w:t>
      </w:r>
      <w:r>
        <w:rPr>
          <w:rFonts w:hint="default" w:ascii="Times New Roman" w:hAnsi="Times New Roman" w:eastAsia="方正小标宋简体" w:cs="Times New Roman"/>
          <w:color w:val="000000"/>
          <w:spacing w:val="-4"/>
          <w:sz w:val="44"/>
          <w:szCs w:val="44"/>
          <w:highlight w:val="none"/>
          <w:lang w:eastAsia="zh-CN"/>
        </w:rPr>
        <w:t>务和经</w:t>
      </w:r>
      <w:r>
        <w:rPr>
          <w:rFonts w:hint="default" w:ascii="Times New Roman" w:hAnsi="Times New Roman" w:eastAsia="方正小标宋简体" w:cs="Times New Roman"/>
          <w:color w:val="000000"/>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0"/>
        <w:jc w:val="center"/>
        <w:textAlignment w:val="auto"/>
        <w:rPr>
          <w:rFonts w:hint="eastAsia" w:ascii="Times New Roman" w:hAnsi="Times New Roman" w:eastAsia="方正小标宋简体"/>
          <w:spacing w:val="-4"/>
          <w:sz w:val="44"/>
          <w:szCs w:val="44"/>
          <w:lang w:val="en-US" w:eastAsia="zh-CN"/>
        </w:rPr>
      </w:pPr>
      <w:r>
        <w:rPr>
          <w:rFonts w:hint="eastAsia" w:ascii="Times New Roman" w:hAnsi="Times New Roman" w:eastAsia="方正小标宋简体" w:cs="方正小标宋简体"/>
          <w:spacing w:val="-4"/>
          <w:sz w:val="44"/>
          <w:szCs w:val="44"/>
          <w:lang w:val="en-US" w:eastAsia="zh-CN"/>
        </w:rPr>
        <w:t>关于</w:t>
      </w:r>
      <w:r>
        <w:rPr>
          <w:rFonts w:hint="eastAsia" w:eastAsia="方正小标宋简体" w:cs="Times New Roman"/>
          <w:sz w:val="44"/>
          <w:szCs w:val="44"/>
          <w:lang w:val="en-US" w:eastAsia="zh-CN"/>
        </w:rPr>
        <w:t>处非工作组工作经费</w:t>
      </w:r>
      <w:r>
        <w:rPr>
          <w:rFonts w:hint="eastAsia" w:ascii="Times New Roman" w:hAnsi="Times New Roman" w:eastAsia="方正小标宋简体"/>
          <w:spacing w:val="-4"/>
          <w:sz w:val="44"/>
          <w:szCs w:val="44"/>
          <w:lang w:val="en-US" w:eastAsia="zh-CN"/>
        </w:rPr>
        <w:t>项目支出绩效</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0"/>
        <w:jc w:val="center"/>
        <w:textAlignment w:val="auto"/>
        <w:rPr>
          <w:rFonts w:hint="default" w:ascii="Times New Roman" w:hAnsi="Times New Roman" w:eastAsia="方正小标宋简体" w:cs="Times New Roman"/>
          <w:spacing w:val="-4"/>
          <w:sz w:val="44"/>
          <w:szCs w:val="44"/>
          <w:lang w:val="en-US" w:eastAsia="zh-CN"/>
        </w:rPr>
      </w:pPr>
      <w:r>
        <w:rPr>
          <w:rFonts w:hint="eastAsia" w:ascii="Times New Roman" w:hAnsi="Times New Roman" w:eastAsia="方正小标宋简体"/>
          <w:spacing w:val="-4"/>
          <w:sz w:val="44"/>
          <w:szCs w:val="44"/>
          <w:lang w:val="en-US" w:eastAsia="zh-CN"/>
        </w:rPr>
        <w:t>自评</w:t>
      </w:r>
      <w:r>
        <w:rPr>
          <w:rFonts w:hint="eastAsia" w:ascii="Times New Roman" w:hAnsi="Times New Roman" w:eastAsia="方正小标宋简体" w:cs="方正小标宋简体"/>
          <w:spacing w:val="-4"/>
          <w:sz w:val="44"/>
          <w:szCs w:val="44"/>
          <w:lang w:val="en-US" w:eastAsia="zh-CN"/>
        </w:rPr>
        <w:t>报</w:t>
      </w:r>
      <w:r>
        <w:rPr>
          <w:rFonts w:hint="default" w:ascii="Times New Roman" w:hAnsi="Times New Roman" w:eastAsia="方正小标宋简体" w:cs="Times New Roman"/>
          <w:spacing w:val="-4"/>
          <w:sz w:val="44"/>
          <w:szCs w:val="44"/>
          <w:lang w:val="en-US" w:eastAsia="zh-CN"/>
        </w:rPr>
        <w:t>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left="0" w:leftChars="0" w:right="0" w:rightChars="0"/>
        <w:jc w:val="both"/>
        <w:textAlignment w:val="baseline"/>
        <w:outlineLvl w:val="9"/>
        <w:rPr>
          <w:rFonts w:hint="default" w:ascii="Times New Roman" w:hAnsi="Times New Roman" w:eastAsia="仿宋_GB2312" w:cs="Times New Roman"/>
          <w:color w:val="000000"/>
          <w:spacing w:val="-4"/>
          <w:sz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89" w:lineRule="exact"/>
        <w:ind w:right="0" w:rightChars="0"/>
        <w:jc w:val="both"/>
        <w:textAlignment w:val="baseline"/>
        <w:outlineLvl w:val="9"/>
        <w:rPr>
          <w:rFonts w:hint="default" w:ascii="Times New Roman" w:hAnsi="Times New Roman" w:eastAsia="仿宋_GB2312" w:cs="Times New Roman"/>
          <w:color w:val="auto"/>
          <w:spacing w:val="-4"/>
          <w:sz w:val="32"/>
          <w:szCs w:val="32"/>
          <w:lang w:val="en-US" w:eastAsia="zh-CN"/>
        </w:rPr>
      </w:pPr>
      <w:r>
        <w:rPr>
          <w:rFonts w:hint="eastAsia" w:ascii="仿宋_GB2312" w:hAnsi="仿宋_GB2312" w:eastAsia="仿宋_GB2312"/>
          <w:color w:val="auto"/>
          <w:spacing w:val="-4"/>
          <w:sz w:val="32"/>
          <w:lang w:val="en-US" w:eastAsia="zh-CN"/>
        </w:rPr>
        <w:t>县</w:t>
      </w:r>
      <w:r>
        <w:rPr>
          <w:rFonts w:hint="eastAsia" w:ascii="仿宋_GB2312" w:hAnsi="仿宋_GB2312" w:eastAsia="仿宋_GB2312"/>
          <w:color w:val="auto"/>
          <w:spacing w:val="-4"/>
          <w:sz w:val="32"/>
        </w:rPr>
        <w:t>财政局</w:t>
      </w:r>
      <w:r>
        <w:rPr>
          <w:rFonts w:hint="default" w:ascii="Times New Roman" w:hAnsi="Times New Roman" w:eastAsia="仿宋_GB2312" w:cs="Times New Roman"/>
          <w:color w:val="auto"/>
          <w:spacing w:val="-4"/>
          <w:sz w:val="32"/>
          <w:szCs w:val="32"/>
          <w:lang w:val="en-US" w:eastAsia="zh-CN"/>
        </w:rPr>
        <w:t>：</w:t>
      </w:r>
    </w:p>
    <w:p>
      <w:pPr>
        <w:pStyle w:val="17"/>
        <w:keepNext w:val="0"/>
        <w:keepLines w:val="0"/>
        <w:pageBreakBefore w:val="0"/>
        <w:widowControl/>
        <w:kinsoku/>
        <w:wordWrap/>
        <w:overflowPunct/>
        <w:topLinePunct w:val="0"/>
        <w:autoSpaceDE/>
        <w:autoSpaceDN/>
        <w:bidi w:val="0"/>
        <w:adjustRightInd w:val="0"/>
        <w:snapToGrid w:val="0"/>
        <w:spacing w:before="0" w:after="0" w:line="590" w:lineRule="exact"/>
        <w:ind w:left="0" w:right="0" w:firstLine="624" w:firstLineChars="200"/>
        <w:jc w:val="both"/>
        <w:textAlignment w:val="baseline"/>
        <w:rPr>
          <w:rFonts w:hint="eastAsia" w:ascii="Times New Roman" w:hAnsi="Times New Roman" w:eastAsia="仿宋_GB2312"/>
          <w:color w:val="auto"/>
          <w:spacing w:val="-4"/>
          <w:sz w:val="32"/>
          <w:lang w:eastAsia="zh-CN"/>
        </w:rPr>
      </w:pPr>
      <w:r>
        <w:rPr>
          <w:rFonts w:hint="eastAsia" w:ascii="Times New Roman" w:hAnsi="Times New Roman" w:eastAsia="仿宋_GB2312"/>
          <w:color w:val="auto"/>
          <w:spacing w:val="-4"/>
          <w:sz w:val="32"/>
        </w:rPr>
        <w:t>根据《大英县财政局关于开展</w:t>
      </w:r>
      <w:r>
        <w:rPr>
          <w:rFonts w:hint="eastAsia" w:ascii="Times New Roman" w:hAnsi="Times New Roman" w:eastAsia="仿宋_GB2312"/>
          <w:color w:val="auto"/>
          <w:spacing w:val="-4"/>
          <w:sz w:val="32"/>
          <w:lang w:val="en-US" w:eastAsia="zh-CN"/>
        </w:rPr>
        <w:t>2024</w:t>
      </w:r>
      <w:r>
        <w:rPr>
          <w:rFonts w:hint="eastAsia" w:ascii="Times New Roman" w:hAnsi="Times New Roman" w:eastAsia="仿宋_GB2312"/>
          <w:color w:val="auto"/>
          <w:spacing w:val="-4"/>
          <w:sz w:val="32"/>
        </w:rPr>
        <w:t>年部门、项目、</w:t>
      </w:r>
      <w:r>
        <w:rPr>
          <w:rFonts w:hint="eastAsia" w:ascii="Times New Roman" w:hAnsi="Times New Roman" w:eastAsia="仿宋_GB2312"/>
          <w:color w:val="auto"/>
          <w:spacing w:val="-4"/>
          <w:sz w:val="32"/>
          <w:lang w:eastAsia="zh-CN"/>
        </w:rPr>
        <w:t>政策</w:t>
      </w:r>
      <w:r>
        <w:rPr>
          <w:rFonts w:hint="eastAsia" w:ascii="Times New Roman" w:hAnsi="Times New Roman" w:eastAsia="仿宋_GB2312"/>
          <w:color w:val="auto"/>
          <w:spacing w:val="-4"/>
          <w:sz w:val="32"/>
        </w:rPr>
        <w:t>支出绩效自评工作的通知》（大财发〔</w:t>
      </w:r>
      <w:r>
        <w:rPr>
          <w:rFonts w:hint="eastAsia" w:ascii="Times New Roman" w:hAnsi="Times New Roman" w:eastAsia="仿宋_GB2312"/>
          <w:color w:val="auto"/>
          <w:spacing w:val="-4"/>
          <w:sz w:val="32"/>
          <w:lang w:val="en-US" w:eastAsia="zh-CN"/>
        </w:rPr>
        <w:t>2024</w:t>
      </w:r>
      <w:r>
        <w:rPr>
          <w:rFonts w:hint="eastAsia" w:ascii="Times New Roman" w:hAnsi="Times New Roman" w:eastAsia="仿宋_GB2312"/>
          <w:color w:val="auto"/>
          <w:spacing w:val="-4"/>
          <w:sz w:val="32"/>
        </w:rPr>
        <w:t>〕</w:t>
      </w:r>
      <w:r>
        <w:rPr>
          <w:rFonts w:hint="eastAsia" w:ascii="Times New Roman" w:hAnsi="Times New Roman" w:eastAsia="仿宋_GB2312"/>
          <w:color w:val="auto"/>
          <w:spacing w:val="-4"/>
          <w:sz w:val="32"/>
          <w:lang w:val="en-US" w:eastAsia="zh-CN"/>
        </w:rPr>
        <w:t>87</w:t>
      </w:r>
      <w:r>
        <w:rPr>
          <w:rFonts w:hint="eastAsia" w:ascii="Times New Roman" w:hAnsi="Times New Roman" w:eastAsia="仿宋_GB2312"/>
          <w:color w:val="auto"/>
          <w:spacing w:val="-4"/>
          <w:sz w:val="32"/>
        </w:rPr>
        <w:t>号）文件要求，我局高度重视，立即落实专人组织开展此项工作。现将我局</w:t>
      </w:r>
      <w:r>
        <w:rPr>
          <w:rFonts w:hint="eastAsia" w:ascii="Times New Roman" w:hAnsi="Times New Roman" w:eastAsia="仿宋_GB2312"/>
          <w:color w:val="auto"/>
          <w:spacing w:val="-4"/>
          <w:sz w:val="32"/>
          <w:lang w:val="en-US" w:eastAsia="zh-CN"/>
        </w:rPr>
        <w:t>2023</w:t>
      </w:r>
      <w:r>
        <w:rPr>
          <w:rFonts w:hint="eastAsia" w:ascii="Times New Roman" w:hAnsi="Times New Roman" w:eastAsia="仿宋_GB2312"/>
          <w:color w:val="auto"/>
          <w:spacing w:val="-4"/>
          <w:sz w:val="32"/>
        </w:rPr>
        <w:t>年度</w:t>
      </w:r>
      <w:r>
        <w:rPr>
          <w:rFonts w:hint="eastAsia" w:ascii="Times New Roman" w:hAnsi="Times New Roman" w:eastAsia="仿宋_GB2312"/>
          <w:color w:val="auto"/>
          <w:spacing w:val="-4"/>
          <w:sz w:val="32"/>
          <w:lang w:eastAsia="zh-CN"/>
        </w:rPr>
        <w:t>处非工作组工作经费</w:t>
      </w:r>
      <w:r>
        <w:rPr>
          <w:rFonts w:hint="eastAsia" w:ascii="Times New Roman" w:hAnsi="Times New Roman" w:eastAsia="仿宋_GB2312"/>
          <w:color w:val="auto"/>
          <w:spacing w:val="-4"/>
          <w:sz w:val="32"/>
        </w:rPr>
        <w:t>项目支出绩效情况报告如下。</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黑体" w:cs="黑体"/>
          <w:color w:val="auto"/>
          <w:spacing w:val="-4"/>
          <w:sz w:val="32"/>
        </w:rPr>
      </w:pPr>
      <w:r>
        <w:rPr>
          <w:rFonts w:hint="eastAsia" w:ascii="Times New Roman" w:hAnsi="Times New Roman" w:eastAsia="黑体" w:cs="黑体"/>
          <w:color w:val="auto"/>
          <w:spacing w:val="-4"/>
          <w:sz w:val="32"/>
        </w:rPr>
        <w:t>一、项目概况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cs="楷体_GB2312"/>
          <w:b/>
          <w:bCs w:val="0"/>
          <w:color w:val="auto"/>
          <w:spacing w:val="-4"/>
          <w:sz w:val="32"/>
        </w:rPr>
      </w:pPr>
      <w:r>
        <w:rPr>
          <w:rFonts w:hint="eastAsia" w:ascii="Times New Roman" w:hAnsi="Times New Roman" w:eastAsia="楷体_GB2312" w:cs="楷体_GB2312"/>
          <w:b/>
          <w:bCs w:val="0"/>
          <w:color w:val="auto"/>
          <w:spacing w:val="-4"/>
          <w:sz w:val="32"/>
        </w:rPr>
        <w:t>（一）项目基本情况</w:t>
      </w:r>
    </w:p>
    <w:p>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590" w:lineRule="exact"/>
        <w:ind w:left="0" w:right="0" w:firstLine="627" w:firstLineChars="200"/>
        <w:jc w:val="both"/>
        <w:rPr>
          <w:rFonts w:hint="eastAsia" w:ascii="Times New Roman" w:hAnsi="Times New Roman" w:eastAsia="仿宋_GB2312" w:cstheme="minorBidi"/>
          <w:color w:val="auto"/>
          <w:spacing w:val="-4"/>
          <w:kern w:val="2"/>
          <w:sz w:val="32"/>
          <w:szCs w:val="24"/>
          <w:lang w:val="en-US" w:eastAsia="zh-CN" w:bidi="ar-SA"/>
        </w:rPr>
      </w:pPr>
      <w:r>
        <w:rPr>
          <w:rFonts w:hint="eastAsia" w:ascii="Times New Roman" w:hAnsi="Times New Roman" w:eastAsia="仿宋_GB2312"/>
          <w:b/>
          <w:color w:val="auto"/>
          <w:spacing w:val="-4"/>
          <w:sz w:val="32"/>
          <w:lang w:val="en-US" w:eastAsia="zh-CN"/>
        </w:rPr>
        <w:t>1.基本概况。</w:t>
      </w:r>
      <w:r>
        <w:rPr>
          <w:rFonts w:hint="eastAsia" w:ascii="Times New Roman" w:hAnsi="Times New Roman" w:eastAsia="仿宋_GB2312" w:cstheme="minorBidi"/>
          <w:color w:val="auto"/>
          <w:spacing w:val="-4"/>
          <w:kern w:val="2"/>
          <w:sz w:val="32"/>
          <w:szCs w:val="24"/>
          <w:lang w:val="en-US" w:eastAsia="zh-CN" w:bidi="ar-SA"/>
        </w:rPr>
        <w:t>2023年，县财政共下达我局</w:t>
      </w:r>
      <w:r>
        <w:rPr>
          <w:rFonts w:hint="eastAsia" w:ascii="Times New Roman" w:hAnsi="Times New Roman" w:eastAsia="仿宋_GB2312"/>
          <w:color w:val="auto"/>
          <w:spacing w:val="-4"/>
          <w:sz w:val="32"/>
          <w:lang w:eastAsia="zh-CN"/>
        </w:rPr>
        <w:t>处非工作组工作经费</w:t>
      </w:r>
      <w:r>
        <w:rPr>
          <w:rFonts w:hint="eastAsia" w:ascii="Times New Roman" w:hAnsi="Times New Roman" w:eastAsia="仿宋_GB2312" w:cstheme="minorBidi"/>
          <w:color w:val="auto"/>
          <w:spacing w:val="-4"/>
          <w:kern w:val="2"/>
          <w:sz w:val="32"/>
          <w:szCs w:val="24"/>
          <w:lang w:val="en-US" w:eastAsia="zh-CN" w:bidi="ar-SA"/>
        </w:rPr>
        <w:t>项目经费1万元。处非工作有效推进，集资群众情绪总体稳定。</w:t>
      </w:r>
    </w:p>
    <w:p>
      <w:pPr>
        <w:keepNext w:val="0"/>
        <w:keepLines w:val="0"/>
        <w:pageBreakBefore w:val="0"/>
        <w:widowControl/>
        <w:kinsoku/>
        <w:wordWrap/>
        <w:overflowPunct/>
        <w:topLinePunct w:val="0"/>
        <w:autoSpaceDE/>
        <w:autoSpaceDN/>
        <w:bidi w:val="0"/>
        <w:adjustRightInd w:val="0"/>
        <w:snapToGrid w:val="0"/>
        <w:spacing w:line="590" w:lineRule="exact"/>
        <w:ind w:right="0" w:firstLine="627" w:firstLineChars="200"/>
        <w:jc w:val="left"/>
        <w:textAlignment w:val="baseline"/>
        <w:rPr>
          <w:rFonts w:hint="eastAsia" w:ascii="Times New Roman" w:hAnsi="Times New Roman" w:eastAsia="仿宋_GB2312"/>
          <w:color w:val="auto"/>
          <w:spacing w:val="-4"/>
          <w:sz w:val="32"/>
          <w:lang w:eastAsia="zh-CN"/>
        </w:rPr>
      </w:pPr>
      <w:r>
        <w:rPr>
          <w:rFonts w:hint="eastAsia" w:ascii="Times New Roman" w:hAnsi="Times New Roman" w:eastAsia="仿宋_GB2312"/>
          <w:b/>
          <w:color w:val="auto"/>
          <w:spacing w:val="-4"/>
          <w:sz w:val="32"/>
          <w:lang w:val="en-US" w:eastAsia="zh-CN"/>
        </w:rPr>
        <w:t>2</w:t>
      </w:r>
      <w:r>
        <w:rPr>
          <w:rFonts w:hint="eastAsia" w:ascii="Times New Roman" w:hAnsi="Times New Roman" w:eastAsia="仿宋_GB2312"/>
          <w:b/>
          <w:color w:val="auto"/>
          <w:spacing w:val="-4"/>
          <w:sz w:val="32"/>
        </w:rPr>
        <w:t>.项目立项、资金申报的依据。</w:t>
      </w:r>
      <w:r>
        <w:rPr>
          <w:rFonts w:hint="eastAsia" w:ascii="Times New Roman" w:hAnsi="Times New Roman" w:eastAsia="仿宋_GB2312"/>
          <w:color w:val="auto"/>
          <w:spacing w:val="-4"/>
          <w:sz w:val="32"/>
          <w:lang w:val="en-US" w:eastAsia="zh-CN"/>
        </w:rPr>
        <w:t>大金领办</w:t>
      </w:r>
      <w:r>
        <w:rPr>
          <w:rFonts w:hint="eastAsia" w:ascii="Times New Roman" w:hAnsi="Times New Roman" w:eastAsia="仿宋_GB2312"/>
          <w:color w:val="auto"/>
          <w:spacing w:val="-4"/>
          <w:sz w:val="32"/>
        </w:rPr>
        <w:t>〔</w:t>
      </w:r>
      <w:r>
        <w:rPr>
          <w:rFonts w:hint="eastAsia" w:ascii="Times New Roman" w:hAnsi="Times New Roman" w:eastAsia="仿宋_GB2312"/>
          <w:color w:val="auto"/>
          <w:spacing w:val="-4"/>
          <w:sz w:val="32"/>
          <w:lang w:val="en-US" w:eastAsia="zh-CN"/>
        </w:rPr>
        <w:t>2023</w:t>
      </w:r>
      <w:r>
        <w:rPr>
          <w:rFonts w:hint="eastAsia" w:ascii="Times New Roman" w:hAnsi="Times New Roman" w:eastAsia="仿宋_GB2312"/>
          <w:color w:val="auto"/>
          <w:spacing w:val="-4"/>
          <w:sz w:val="32"/>
        </w:rPr>
        <w:t>〕</w:t>
      </w:r>
      <w:r>
        <w:rPr>
          <w:rFonts w:hint="eastAsia" w:ascii="Times New Roman" w:hAnsi="Times New Roman" w:eastAsia="仿宋_GB2312"/>
          <w:color w:val="auto"/>
          <w:spacing w:val="-4"/>
          <w:sz w:val="32"/>
          <w:lang w:val="en-US" w:eastAsia="zh-CN"/>
        </w:rPr>
        <w:t>5</w:t>
      </w:r>
      <w:r>
        <w:rPr>
          <w:rFonts w:hint="eastAsia" w:ascii="Times New Roman" w:hAnsi="Times New Roman" w:eastAsia="仿宋_GB2312"/>
          <w:color w:val="auto"/>
          <w:spacing w:val="-4"/>
          <w:sz w:val="32"/>
        </w:rPr>
        <w:t>号</w:t>
      </w:r>
      <w:r>
        <w:rPr>
          <w:rFonts w:hint="eastAsia" w:ascii="Times New Roman" w:hAnsi="Times New Roman" w:eastAsia="仿宋_GB2312"/>
          <w:color w:val="auto"/>
          <w:spacing w:val="-4"/>
          <w:sz w:val="32"/>
          <w:lang w:eastAsia="zh-CN"/>
        </w:rPr>
        <w:t>。</w:t>
      </w:r>
    </w:p>
    <w:p>
      <w:pPr>
        <w:keepNext w:val="0"/>
        <w:keepLines w:val="0"/>
        <w:pageBreakBefore w:val="0"/>
        <w:widowControl/>
        <w:kinsoku/>
        <w:wordWrap/>
        <w:overflowPunct/>
        <w:topLinePunct w:val="0"/>
        <w:autoSpaceDE/>
        <w:autoSpaceDN/>
        <w:bidi w:val="0"/>
        <w:adjustRightInd w:val="0"/>
        <w:snapToGrid w:val="0"/>
        <w:spacing w:line="590" w:lineRule="exact"/>
        <w:ind w:right="0" w:firstLine="627" w:firstLineChars="200"/>
        <w:jc w:val="distribute"/>
        <w:textAlignment w:val="baseline"/>
        <w:rPr>
          <w:rFonts w:hint="eastAsia" w:ascii="Times New Roman" w:hAnsi="Times New Roman" w:eastAsia="仿宋_GB2312" w:cstheme="minorBidi"/>
          <w:color w:val="auto"/>
          <w:spacing w:val="-4"/>
          <w:kern w:val="2"/>
          <w:sz w:val="32"/>
          <w:szCs w:val="24"/>
          <w:lang w:val="en-US" w:eastAsia="zh-CN" w:bidi="ar-SA"/>
        </w:rPr>
        <w:sectPr>
          <w:pgSz w:w="11906" w:h="16838"/>
          <w:pgMar w:top="1928" w:right="1474" w:bottom="1928" w:left="1587" w:header="851" w:footer="992" w:gutter="0"/>
          <w:pgNumType w:fmt="decimal" w:start="2"/>
          <w:cols w:space="720" w:num="1"/>
          <w:rtlGutter w:val="0"/>
          <w:docGrid w:type="lines" w:linePitch="312" w:charSpace="0"/>
        </w:sectPr>
      </w:pPr>
      <w:r>
        <w:rPr>
          <w:rFonts w:hint="eastAsia" w:ascii="Times New Roman" w:hAnsi="Times New Roman" w:eastAsia="仿宋_GB2312"/>
          <w:b/>
          <w:bCs/>
          <w:color w:val="auto"/>
          <w:spacing w:val="-4"/>
          <w:sz w:val="32"/>
          <w:lang w:val="en-US" w:eastAsia="zh-CN"/>
        </w:rPr>
        <w:t>3</w:t>
      </w:r>
      <w:r>
        <w:rPr>
          <w:rFonts w:hint="eastAsia" w:ascii="Times New Roman" w:hAnsi="Times New Roman" w:eastAsia="仿宋_GB2312"/>
          <w:b/>
          <w:bCs/>
          <w:color w:val="auto"/>
          <w:spacing w:val="-4"/>
          <w:sz w:val="32"/>
        </w:rPr>
        <w:t>.</w:t>
      </w:r>
      <w:r>
        <w:rPr>
          <w:rFonts w:hint="eastAsia" w:ascii="Times New Roman" w:hAnsi="Times New Roman" w:eastAsia="仿宋_GB2312"/>
          <w:b/>
          <w:color w:val="auto"/>
          <w:spacing w:val="-4"/>
          <w:sz w:val="32"/>
        </w:rPr>
        <w:t>资金管理办法制定情况，资金支持具体项目的条件、范围与支持方</w:t>
      </w:r>
      <w:bookmarkStart w:id="0" w:name="_GoBack"/>
      <w:bookmarkEnd w:id="0"/>
      <w:r>
        <w:rPr>
          <w:rFonts w:hint="eastAsia" w:ascii="Times New Roman" w:hAnsi="Times New Roman" w:eastAsia="仿宋_GB2312"/>
          <w:b/>
          <w:color w:val="auto"/>
          <w:spacing w:val="-4"/>
          <w:sz w:val="32"/>
        </w:rPr>
        <w:t>式概况。</w:t>
      </w:r>
      <w:r>
        <w:rPr>
          <w:rFonts w:hint="eastAsia" w:ascii="Times New Roman" w:hAnsi="Times New Roman" w:eastAsia="仿宋_GB2312" w:cstheme="minorBidi"/>
          <w:color w:val="auto"/>
          <w:spacing w:val="-4"/>
          <w:kern w:val="2"/>
          <w:sz w:val="32"/>
          <w:szCs w:val="24"/>
          <w:lang w:val="en-US" w:eastAsia="zh-CN" w:bidi="ar-SA"/>
        </w:rPr>
        <w:t>为深入贯彻落实《防范和处置非法集资条例》，进一步做好2023年度打击和处置非法集资工作，加大追赃挽损化解集资融资风险力度，确保市级考核目标全面实现，县</w:t>
      </w:r>
    </w:p>
    <w:p>
      <w:pPr>
        <w:keepNext w:val="0"/>
        <w:keepLines w:val="0"/>
        <w:pageBreakBefore w:val="0"/>
        <w:widowControl/>
        <w:kinsoku/>
        <w:wordWrap/>
        <w:overflowPunct/>
        <w:topLinePunct w:val="0"/>
        <w:autoSpaceDE/>
        <w:autoSpaceDN/>
        <w:bidi w:val="0"/>
        <w:adjustRightInd w:val="0"/>
        <w:snapToGrid w:val="0"/>
        <w:spacing w:line="590" w:lineRule="exact"/>
        <w:ind w:right="0"/>
        <w:jc w:val="left"/>
        <w:textAlignment w:val="baseline"/>
        <w:rPr>
          <w:rFonts w:hint="eastAsia" w:ascii="Times New Roman" w:hAnsi="Times New Roman" w:eastAsia="仿宋_GB2312" w:cstheme="minorBidi"/>
          <w:color w:val="auto"/>
          <w:spacing w:val="-4"/>
          <w:kern w:val="2"/>
          <w:sz w:val="32"/>
          <w:szCs w:val="24"/>
          <w:lang w:val="en-US" w:eastAsia="zh-CN" w:bidi="ar-SA"/>
        </w:rPr>
      </w:pPr>
      <w:r>
        <w:rPr>
          <w:rFonts w:hint="eastAsia" w:ascii="Times New Roman" w:hAnsi="Times New Roman" w:eastAsia="仿宋_GB2312" w:cstheme="minorBidi"/>
          <w:color w:val="auto"/>
          <w:spacing w:val="-4"/>
          <w:kern w:val="2"/>
          <w:sz w:val="32"/>
          <w:szCs w:val="24"/>
          <w:lang w:val="en-US" w:eastAsia="zh-CN" w:bidi="ar-SA"/>
        </w:rPr>
        <w:t>金融工作领导小组办公室核算我局需处非工作经费１万元，主要用于包案化解的办公、差旅，律师咨询，资产评估、财务审计、维稳处突等费用支出保障。</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仿宋_GB2312"/>
          <w:color w:val="auto"/>
          <w:spacing w:val="-4"/>
          <w:sz w:val="32"/>
        </w:rPr>
      </w:pPr>
      <w:r>
        <w:rPr>
          <w:rFonts w:hint="eastAsia" w:ascii="Times New Roman" w:hAnsi="Times New Roman" w:eastAsia="仿宋_GB2312"/>
          <w:b/>
          <w:color w:val="auto"/>
          <w:spacing w:val="-4"/>
          <w:sz w:val="32"/>
          <w:lang w:val="en-US" w:eastAsia="zh-CN"/>
        </w:rPr>
        <w:t>4</w:t>
      </w:r>
      <w:r>
        <w:rPr>
          <w:rFonts w:hint="eastAsia" w:ascii="Times New Roman" w:hAnsi="Times New Roman" w:eastAsia="仿宋_GB2312"/>
          <w:b/>
          <w:color w:val="auto"/>
          <w:spacing w:val="-4"/>
          <w:sz w:val="32"/>
        </w:rPr>
        <w:t>.资金分配的原则及考虑因素。</w:t>
      </w:r>
      <w:r>
        <w:rPr>
          <w:rFonts w:hint="eastAsia" w:ascii="Times New Roman" w:hAnsi="Times New Roman" w:eastAsia="仿宋_GB2312"/>
          <w:color w:val="auto"/>
          <w:spacing w:val="-4"/>
          <w:sz w:val="32"/>
        </w:rPr>
        <w:t>资金分配按照规范性、合理性、及时性原则使用，主要考虑</w:t>
      </w:r>
      <w:r>
        <w:rPr>
          <w:rFonts w:hint="eastAsia" w:ascii="Times New Roman" w:hAnsi="Times New Roman" w:eastAsia="仿宋_GB2312"/>
          <w:color w:val="auto"/>
          <w:spacing w:val="-4"/>
          <w:sz w:val="32"/>
          <w:lang w:val="en-US" w:eastAsia="zh-CN"/>
        </w:rPr>
        <w:t>既不偏离标准，又有区域特色的原则推进处非</w:t>
      </w:r>
      <w:r>
        <w:rPr>
          <w:rFonts w:hint="eastAsia" w:ascii="Times New Roman" w:hAnsi="Times New Roman" w:eastAsia="仿宋_GB2312"/>
          <w:color w:val="auto"/>
          <w:spacing w:val="-4"/>
          <w:sz w:val="32"/>
        </w:rPr>
        <w:t>工作。</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cs="楷体_GB2312"/>
          <w:b/>
          <w:bCs w:val="0"/>
          <w:color w:val="auto"/>
          <w:spacing w:val="-4"/>
          <w:sz w:val="32"/>
        </w:rPr>
      </w:pPr>
      <w:r>
        <w:rPr>
          <w:rFonts w:hint="eastAsia" w:ascii="Times New Roman" w:hAnsi="Times New Roman" w:eastAsia="楷体_GB2312" w:cs="楷体_GB2312"/>
          <w:b/>
          <w:bCs w:val="0"/>
          <w:color w:val="auto"/>
          <w:spacing w:val="-4"/>
          <w:sz w:val="32"/>
        </w:rPr>
        <w:t>（二）项目绩效目标</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仿宋_GB2312" w:cstheme="minorBidi"/>
          <w:color w:val="auto"/>
          <w:spacing w:val="-4"/>
          <w:kern w:val="2"/>
          <w:sz w:val="32"/>
          <w:szCs w:val="24"/>
          <w:lang w:val="en-US" w:eastAsia="zh-CN" w:bidi="ar-SA"/>
        </w:rPr>
      </w:pPr>
      <w:r>
        <w:rPr>
          <w:rFonts w:hint="eastAsia" w:ascii="Times New Roman" w:hAnsi="Times New Roman" w:eastAsia="仿宋_GB2312"/>
          <w:b/>
          <w:color w:val="auto"/>
          <w:spacing w:val="-4"/>
          <w:sz w:val="32"/>
        </w:rPr>
        <w:t>1.项目主要内容。</w:t>
      </w:r>
      <w:r>
        <w:rPr>
          <w:rFonts w:hint="eastAsia" w:ascii="Times New Roman" w:hAnsi="Times New Roman" w:eastAsia="仿宋_GB2312" w:cstheme="minorBidi"/>
          <w:color w:val="auto"/>
          <w:spacing w:val="-4"/>
          <w:kern w:val="2"/>
          <w:sz w:val="32"/>
          <w:szCs w:val="24"/>
          <w:lang w:val="en-US" w:eastAsia="zh-CN" w:bidi="ar-SA"/>
        </w:rPr>
        <w:t>进一步做好2023年度打击和处置非法集资工作，加大追赃挽损化解集资融资风险力度，确保市级考核目标全面实现。</w:t>
      </w:r>
    </w:p>
    <w:p>
      <w:pPr>
        <w:keepNext w:val="0"/>
        <w:keepLines w:val="0"/>
        <w:pageBreakBefore w:val="0"/>
        <w:widowControl w:val="0"/>
        <w:numPr>
          <w:ilvl w:val="0"/>
          <w:numId w:val="0"/>
        </w:numPr>
        <w:kinsoku/>
        <w:wordWrap/>
        <w:overflowPunct/>
        <w:topLinePunct w:val="0"/>
        <w:autoSpaceDE/>
        <w:autoSpaceDN/>
        <w:bidi w:val="0"/>
        <w:adjustRightInd w:val="0"/>
        <w:snapToGrid w:val="0"/>
        <w:spacing w:after="157" w:afterLines="50" w:line="590" w:lineRule="exact"/>
        <w:ind w:left="0" w:leftChars="0" w:right="0" w:rightChars="0" w:firstLine="627" w:firstLineChars="200"/>
        <w:jc w:val="both"/>
        <w:textAlignment w:val="auto"/>
        <w:outlineLvl w:val="9"/>
        <w:rPr>
          <w:rFonts w:hint="eastAsia" w:ascii="Times New Roman" w:hAnsi="Times New Roman" w:eastAsia="仿宋_GB2312"/>
          <w:color w:val="auto"/>
          <w:spacing w:val="-4"/>
          <w:sz w:val="32"/>
        </w:rPr>
      </w:pPr>
      <w:r>
        <w:rPr>
          <w:rFonts w:hint="eastAsia" w:ascii="Times New Roman" w:hAnsi="Times New Roman" w:eastAsia="仿宋_GB2312"/>
          <w:b/>
          <w:bCs/>
          <w:color w:val="auto"/>
          <w:spacing w:val="-4"/>
          <w:sz w:val="32"/>
        </w:rPr>
        <w:t>2.项目应实现的具体绩效目标，包括目标的量化、细化情况以及项目实施进度计划等。</w:t>
      </w:r>
    </w:p>
    <w:tbl>
      <w:tblPr>
        <w:tblStyle w:val="13"/>
        <w:tblW w:w="886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9"/>
        <w:gridCol w:w="1218"/>
        <w:gridCol w:w="1185"/>
        <w:gridCol w:w="2788"/>
        <w:gridCol w:w="1217"/>
        <w:gridCol w:w="17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trPr>
        <w:tc>
          <w:tcPr>
            <w:tcW w:w="669"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仿宋_GB2312"/>
                <w:color w:val="auto"/>
                <w:spacing w:val="-4"/>
                <w:sz w:val="24"/>
                <w:szCs w:val="22"/>
              </w:rPr>
            </w:pPr>
            <w:r>
              <w:rPr>
                <w:rFonts w:hint="eastAsia" w:ascii="Times New Roman" w:hAnsi="Times New Roman" w:eastAsia="黑体"/>
                <w:color w:val="auto"/>
                <w:spacing w:val="-4"/>
                <w:kern w:val="0"/>
                <w:sz w:val="24"/>
                <w:szCs w:val="22"/>
              </w:rPr>
              <w:t>绩效指标</w:t>
            </w:r>
          </w:p>
        </w:tc>
        <w:tc>
          <w:tcPr>
            <w:tcW w:w="121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一级指标</w:t>
            </w:r>
          </w:p>
        </w:tc>
        <w:tc>
          <w:tcPr>
            <w:tcW w:w="118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二级指标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三级指标</w:t>
            </w: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指标值</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blHead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218"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项目完成</w:t>
            </w:r>
          </w:p>
        </w:tc>
        <w:tc>
          <w:tcPr>
            <w:tcW w:w="118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数量指标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服务大英县鼎诚投资有限公司1家</w:t>
            </w: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lang w:eastAsia="zh-CN"/>
              </w:rPr>
            </w:pPr>
            <w:r>
              <w:rPr>
                <w:rFonts w:hint="eastAsia" w:ascii="Times New Roman" w:hAnsi="Times New Roman" w:eastAsia="仿宋_GB2312"/>
                <w:color w:val="auto"/>
                <w:spacing w:val="-4"/>
                <w:kern w:val="0"/>
                <w:sz w:val="24"/>
                <w:szCs w:val="22"/>
                <w:lang w:val="en-US" w:eastAsia="zh-CN"/>
              </w:rPr>
              <w:t>=１</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lang w:eastAsia="zh-CN"/>
              </w:rPr>
            </w:pPr>
            <w:r>
              <w:rPr>
                <w:rFonts w:hint="eastAsia" w:ascii="Times New Roman" w:hAnsi="Times New Roman" w:eastAsia="仿宋_GB2312"/>
                <w:color w:val="auto"/>
                <w:spacing w:val="-4"/>
                <w:kern w:val="0"/>
                <w:sz w:val="24"/>
                <w:szCs w:val="22"/>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1" w:hRule="atLeast"/>
          <w:tblHead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218"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18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质量指标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lang w:val="en-US" w:eastAsia="zh-CN"/>
              </w:rPr>
            </w:pPr>
            <w:r>
              <w:rPr>
                <w:rFonts w:hint="default" w:ascii="Times New Roman" w:hAnsi="Times New Roman" w:eastAsia="仿宋_GB2312"/>
                <w:color w:val="auto"/>
                <w:spacing w:val="-4"/>
                <w:kern w:val="0"/>
                <w:sz w:val="24"/>
                <w:szCs w:val="22"/>
                <w:lang w:val="en-US" w:eastAsia="zh-CN"/>
              </w:rPr>
              <w:t>符合相关规定达标率</w:t>
            </w: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default" w:ascii="Times New Roman" w:hAnsi="Times New Roman" w:eastAsia="仿宋_GB2312"/>
                <w:color w:val="auto"/>
                <w:spacing w:val="-4"/>
                <w:kern w:val="0"/>
                <w:sz w:val="24"/>
                <w:szCs w:val="22"/>
                <w:lang w:val="en-US" w:eastAsia="zh-CN"/>
              </w:rPr>
            </w:pPr>
            <w:r>
              <w:rPr>
                <w:rFonts w:hint="eastAsia" w:ascii="Times New Roman" w:hAnsi="Times New Roman" w:eastAsia="仿宋_GB2312"/>
                <w:color w:val="auto"/>
                <w:spacing w:val="-4"/>
                <w:kern w:val="0"/>
                <w:sz w:val="24"/>
                <w:szCs w:val="22"/>
                <w:lang w:val="en-US" w:eastAsia="zh-CN"/>
              </w:rPr>
              <w:t>=</w:t>
            </w:r>
            <w:r>
              <w:rPr>
                <w:rFonts w:hint="default" w:ascii="Times New Roman" w:hAnsi="Times New Roman" w:eastAsia="仿宋_GB2312"/>
                <w:color w:val="auto"/>
                <w:spacing w:val="-4"/>
                <w:kern w:val="0"/>
                <w:sz w:val="24"/>
                <w:szCs w:val="22"/>
                <w:lang w:val="en-US" w:eastAsia="zh-CN"/>
              </w:rPr>
              <w:t>100</w:t>
            </w:r>
            <w:r>
              <w:rPr>
                <w:rFonts w:hint="eastAsia" w:ascii="Times New Roman" w:hAnsi="Times New Roman" w:eastAsia="仿宋_GB2312"/>
                <w:color w:val="auto"/>
                <w:spacing w:val="-4"/>
                <w:kern w:val="0"/>
                <w:sz w:val="24"/>
                <w:szCs w:val="22"/>
                <w:lang w:val="en-US" w:eastAsia="zh-CN"/>
              </w:rPr>
              <w:t>％</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218"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18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时效指标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2022年1-12月完成</w:t>
            </w: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lang w:eastAsia="zh-CN"/>
              </w:rPr>
            </w:pPr>
            <w:r>
              <w:rPr>
                <w:rFonts w:hint="eastAsia" w:ascii="Times New Roman" w:hAnsi="Times New Roman" w:eastAsia="仿宋_GB2312"/>
                <w:color w:val="auto"/>
                <w:spacing w:val="-4"/>
                <w:kern w:val="0"/>
                <w:sz w:val="24"/>
                <w:szCs w:val="22"/>
                <w:lang w:eastAsia="zh-CN"/>
              </w:rPr>
              <w:t>年内完成</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218"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18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成本指标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w:t>
            </w:r>
            <w:r>
              <w:rPr>
                <w:rFonts w:hint="default" w:ascii="Times New Roman" w:hAnsi="Times New Roman" w:eastAsia="仿宋_GB2312"/>
                <w:color w:val="auto"/>
                <w:spacing w:val="-4"/>
                <w:kern w:val="0"/>
                <w:sz w:val="24"/>
                <w:szCs w:val="22"/>
                <w:lang w:val="en-US" w:eastAsia="zh-CN"/>
              </w:rPr>
              <w:t>1</w:t>
            </w:r>
            <w:r>
              <w:rPr>
                <w:rFonts w:hint="eastAsia" w:ascii="Times New Roman" w:hAnsi="Times New Roman" w:eastAsia="仿宋_GB2312"/>
                <w:color w:val="auto"/>
                <w:spacing w:val="-4"/>
                <w:kern w:val="0"/>
                <w:sz w:val="24"/>
                <w:szCs w:val="22"/>
                <w:lang w:val="en-US" w:eastAsia="zh-CN"/>
              </w:rPr>
              <w:t>万元</w:t>
            </w: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w:t>
            </w:r>
            <w:r>
              <w:rPr>
                <w:rFonts w:hint="default" w:ascii="Times New Roman" w:hAnsi="Times New Roman" w:eastAsia="仿宋_GB2312"/>
                <w:color w:val="auto"/>
                <w:spacing w:val="-4"/>
                <w:kern w:val="0"/>
                <w:sz w:val="24"/>
                <w:szCs w:val="22"/>
                <w:lang w:val="en-US" w:eastAsia="zh-CN"/>
              </w:rPr>
              <w:t>1</w:t>
            </w:r>
            <w:r>
              <w:rPr>
                <w:rFonts w:hint="eastAsia" w:ascii="Times New Roman" w:hAnsi="Times New Roman" w:eastAsia="仿宋_GB2312"/>
                <w:color w:val="auto"/>
                <w:spacing w:val="-4"/>
                <w:kern w:val="0"/>
                <w:sz w:val="24"/>
                <w:szCs w:val="22"/>
                <w:lang w:val="en-US" w:eastAsia="zh-CN"/>
              </w:rPr>
              <w:t>万元</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default" w:ascii="Times New Roman" w:hAnsi="Times New Roman" w:eastAsia="仿宋_GB2312"/>
                <w:color w:val="auto"/>
                <w:spacing w:val="-4"/>
                <w:kern w:val="0"/>
                <w:sz w:val="24"/>
                <w:szCs w:val="22"/>
                <w:lang w:val="en-US" w:eastAsia="zh-CN"/>
              </w:rPr>
            </w:pPr>
            <w:r>
              <w:rPr>
                <w:rFonts w:hint="eastAsia" w:ascii="Times New Roman" w:hAnsi="Times New Roman" w:eastAsia="仿宋_GB2312"/>
                <w:color w:val="auto"/>
                <w:spacing w:val="-4"/>
                <w:kern w:val="0"/>
                <w:sz w:val="24"/>
                <w:szCs w:val="22"/>
                <w:lang w:val="en-US" w:eastAsia="zh-CN"/>
              </w:rPr>
              <w:t>0.00345万元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2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项目效益</w:t>
            </w:r>
          </w:p>
        </w:tc>
        <w:tc>
          <w:tcPr>
            <w:tcW w:w="11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eastAsia="zh-CN"/>
              </w:rPr>
              <w:t>社会</w:t>
            </w:r>
            <w:r>
              <w:rPr>
                <w:rFonts w:hint="eastAsia" w:ascii="Times New Roman" w:hAnsi="Times New Roman" w:eastAsia="仿宋_GB2312"/>
                <w:color w:val="auto"/>
                <w:spacing w:val="-4"/>
                <w:kern w:val="0"/>
                <w:sz w:val="24"/>
                <w:szCs w:val="22"/>
              </w:rPr>
              <w:t>效益指标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社会稳定成效率</w:t>
            </w: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default" w:ascii="Times New Roman" w:hAnsi="Times New Roman" w:eastAsia="仿宋_GB2312"/>
                <w:color w:val="auto"/>
                <w:spacing w:val="-4"/>
                <w:kern w:val="0"/>
                <w:sz w:val="24"/>
                <w:szCs w:val="22"/>
                <w:lang w:val="en-US" w:eastAsia="zh-CN"/>
              </w:rPr>
            </w:pPr>
            <w:r>
              <w:rPr>
                <w:rFonts w:hint="eastAsia" w:ascii="Times New Roman" w:hAnsi="Times New Roman" w:eastAsia="仿宋_GB2312"/>
                <w:color w:val="auto"/>
                <w:spacing w:val="-4"/>
                <w:kern w:val="0"/>
                <w:sz w:val="24"/>
                <w:szCs w:val="22"/>
                <w:lang w:val="en-US" w:eastAsia="zh-CN"/>
              </w:rPr>
              <w:t>=100%</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default" w:ascii="Times New Roman" w:hAnsi="Times New Roman" w:eastAsia="仿宋_GB2312"/>
                <w:color w:val="auto"/>
                <w:spacing w:val="-4"/>
                <w:kern w:val="0"/>
                <w:sz w:val="24"/>
                <w:szCs w:val="22"/>
                <w:lang w:val="en-US" w:eastAsia="zh-CN"/>
              </w:rPr>
            </w:pPr>
            <w:r>
              <w:rPr>
                <w:rFonts w:hint="eastAsia" w:ascii="Times New Roman" w:hAnsi="Times New Roman" w:eastAsia="仿宋_GB2312"/>
                <w:color w:val="auto"/>
                <w:spacing w:val="-4"/>
                <w:kern w:val="0"/>
                <w:sz w:val="24"/>
                <w:szCs w:val="22"/>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21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both"/>
              <w:textAlignment w:val="center"/>
              <w:rPr>
                <w:rFonts w:hint="eastAsia" w:ascii="Times New Roman" w:hAnsi="Times New Roman" w:eastAsia="仿宋_GB2312"/>
                <w:color w:val="auto"/>
                <w:spacing w:val="-4"/>
                <w:sz w:val="22"/>
                <w:szCs w:val="22"/>
              </w:rPr>
            </w:pPr>
            <w:r>
              <w:rPr>
                <w:rFonts w:hint="eastAsia" w:ascii="Times New Roman" w:hAnsi="Times New Roman" w:eastAsia="仿宋_GB2312"/>
                <w:color w:val="auto"/>
                <w:spacing w:val="-4"/>
                <w:kern w:val="0"/>
                <w:sz w:val="24"/>
                <w:szCs w:val="22"/>
              </w:rPr>
              <w:t>满意度指标</w:t>
            </w:r>
          </w:p>
        </w:tc>
        <w:tc>
          <w:tcPr>
            <w:tcW w:w="118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满意度指标</w:t>
            </w:r>
          </w:p>
        </w:tc>
        <w:tc>
          <w:tcPr>
            <w:tcW w:w="278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lang w:eastAsia="zh-CN"/>
              </w:rPr>
            </w:pPr>
            <w:r>
              <w:rPr>
                <w:rFonts w:hint="eastAsia" w:ascii="Times New Roman" w:hAnsi="Times New Roman" w:eastAsia="仿宋_GB2312"/>
                <w:color w:val="auto"/>
                <w:spacing w:val="-4"/>
                <w:kern w:val="0"/>
                <w:sz w:val="24"/>
                <w:szCs w:val="22"/>
              </w:rPr>
              <w:t>被服务对象</w:t>
            </w:r>
            <w:r>
              <w:rPr>
                <w:rFonts w:hint="eastAsia" w:ascii="Times New Roman" w:hAnsi="Times New Roman" w:eastAsia="仿宋_GB2312"/>
                <w:color w:val="auto"/>
                <w:spacing w:val="-4"/>
                <w:kern w:val="0"/>
                <w:sz w:val="24"/>
                <w:szCs w:val="22"/>
                <w:lang w:eastAsia="zh-CN"/>
              </w:rPr>
              <w:t>满意度</w:t>
            </w:r>
          </w:p>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21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≥95%</w:t>
            </w:r>
          </w:p>
        </w:tc>
        <w:tc>
          <w:tcPr>
            <w:tcW w:w="179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100%</w:t>
            </w:r>
          </w:p>
        </w:tc>
      </w:tr>
    </w:tbl>
    <w:p>
      <w:pPr>
        <w:pStyle w:val="2"/>
        <w:keepNext w:val="0"/>
        <w:keepLines w:val="0"/>
        <w:pageBreakBefore w:val="0"/>
        <w:widowControl w:val="0"/>
        <w:numPr>
          <w:numId w:val="0"/>
        </w:numPr>
        <w:kinsoku/>
        <w:wordWrap/>
        <w:overflowPunct/>
        <w:topLinePunct w:val="0"/>
        <w:autoSpaceDE/>
        <w:autoSpaceDN/>
        <w:bidi w:val="0"/>
        <w:adjustRightInd w:val="0"/>
        <w:snapToGrid w:val="0"/>
        <w:spacing w:before="157" w:beforeLines="50" w:line="590" w:lineRule="exact"/>
        <w:ind w:right="0" w:rightChars="0" w:firstLine="627" w:firstLineChars="200"/>
        <w:jc w:val="both"/>
        <w:textAlignment w:val="baseline"/>
        <w:rPr>
          <w:rFonts w:hint="eastAsia" w:ascii="Times New Roman" w:hAnsi="Times New Roman" w:eastAsia="仿宋_GB2312"/>
          <w:color w:val="000000"/>
          <w:spacing w:val="-4"/>
          <w:sz w:val="32"/>
        </w:rPr>
      </w:pPr>
      <w:r>
        <w:rPr>
          <w:rFonts w:hint="eastAsia" w:ascii="Times New Roman" w:hAnsi="Times New Roman" w:eastAsia="仿宋_GB2312"/>
          <w:b/>
          <w:color w:val="000000"/>
          <w:spacing w:val="-4"/>
          <w:sz w:val="32"/>
          <w:lang w:val="en-US" w:eastAsia="zh-CN"/>
        </w:rPr>
        <w:t>3.</w:t>
      </w:r>
      <w:r>
        <w:rPr>
          <w:rFonts w:hint="eastAsia" w:ascii="Times New Roman" w:hAnsi="Times New Roman" w:eastAsia="仿宋_GB2312"/>
          <w:b/>
          <w:color w:val="000000"/>
          <w:spacing w:val="-4"/>
          <w:sz w:val="32"/>
        </w:rPr>
        <w:t>分析评价申报内容是否与实际相符，申报目标是否合理可行。</w:t>
      </w:r>
      <w:r>
        <w:rPr>
          <w:rFonts w:hint="eastAsia" w:ascii="Times New Roman" w:hAnsi="Times New Roman" w:eastAsia="仿宋_GB2312"/>
          <w:color w:val="000000"/>
          <w:spacing w:val="-4"/>
          <w:sz w:val="32"/>
        </w:rPr>
        <w:t>评价申报内容与实际相符，申报目标合理可行。</w:t>
      </w:r>
    </w:p>
    <w:p>
      <w:pPr>
        <w:pStyle w:val="2"/>
        <w:keepNext w:val="0"/>
        <w:keepLines w:val="0"/>
        <w:pageBreakBefore w:val="0"/>
        <w:widowControl w:val="0"/>
        <w:numPr>
          <w:numId w:val="0"/>
        </w:numPr>
        <w:kinsoku/>
        <w:wordWrap/>
        <w:overflowPunct/>
        <w:topLinePunct w:val="0"/>
        <w:autoSpaceDE/>
        <w:autoSpaceDN/>
        <w:bidi w:val="0"/>
        <w:adjustRightInd w:val="0"/>
        <w:snapToGrid w:val="0"/>
        <w:spacing w:before="157" w:beforeLines="50" w:line="590" w:lineRule="exact"/>
        <w:ind w:right="0" w:rightChars="0" w:firstLine="627" w:firstLineChars="200"/>
        <w:jc w:val="both"/>
        <w:textAlignment w:val="baseline"/>
        <w:rPr>
          <w:rFonts w:hint="eastAsia" w:ascii="Times New Roman" w:hAnsi="Times New Roman" w:eastAsia="楷体_GB2312" w:cs="楷体_GB2312"/>
          <w:b/>
          <w:color w:val="000000" w:themeColor="text1"/>
          <w:spacing w:val="-4"/>
          <w:sz w:val="32"/>
          <w14:textFill>
            <w14:solidFill>
              <w14:schemeClr w14:val="tx1"/>
            </w14:solidFill>
          </w14:textFill>
        </w:rPr>
      </w:pPr>
      <w:r>
        <w:rPr>
          <w:rFonts w:hint="eastAsia" w:ascii="Times New Roman" w:hAnsi="Times New Roman" w:eastAsia="楷体_GB2312" w:cs="楷体_GB2312"/>
          <w:b/>
          <w:bCs w:val="0"/>
          <w:color w:val="000000" w:themeColor="text1"/>
          <w:spacing w:val="-4"/>
          <w:sz w:val="32"/>
          <w14:textFill>
            <w14:solidFill>
              <w14:schemeClr w14:val="tx1"/>
            </w14:solidFill>
          </w14:textFill>
        </w:rPr>
        <w:t>（三）项目自评步骤及方法</w:t>
      </w:r>
    </w:p>
    <w:p>
      <w:pPr>
        <w:pStyle w:val="2"/>
        <w:keepNext w:val="0"/>
        <w:keepLines w:val="0"/>
        <w:pageBreakBefore w:val="0"/>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spacing w:val="-4"/>
        </w:rPr>
      </w:pPr>
      <w:r>
        <w:rPr>
          <w:rFonts w:hint="eastAsia" w:ascii="Times New Roman" w:hAnsi="Times New Roman" w:eastAsia="仿宋_GB2312"/>
          <w:b/>
          <w:bCs/>
          <w:spacing w:val="-4"/>
          <w:sz w:val="32"/>
          <w:lang w:val="en-US" w:eastAsia="zh-CN"/>
        </w:rPr>
        <w:t>一是</w:t>
      </w:r>
      <w:r>
        <w:rPr>
          <w:rFonts w:hint="eastAsia" w:ascii="Times New Roman" w:hAnsi="Times New Roman" w:eastAsia="仿宋_GB2312"/>
          <w:spacing w:val="-4"/>
          <w:sz w:val="32"/>
          <w:lang w:val="en-US" w:eastAsia="zh-CN"/>
        </w:rPr>
        <w:t>前期准备；</w:t>
      </w:r>
      <w:r>
        <w:rPr>
          <w:rFonts w:hint="eastAsia" w:ascii="Times New Roman" w:hAnsi="Times New Roman" w:eastAsia="仿宋_GB2312"/>
          <w:b/>
          <w:bCs/>
          <w:spacing w:val="-4"/>
          <w:sz w:val="32"/>
          <w:lang w:val="en-US" w:eastAsia="zh-CN"/>
        </w:rPr>
        <w:t>二是</w:t>
      </w:r>
      <w:r>
        <w:rPr>
          <w:rFonts w:hint="eastAsia" w:ascii="Times New Roman" w:hAnsi="Times New Roman" w:eastAsia="仿宋_GB2312"/>
          <w:spacing w:val="-4"/>
          <w:sz w:val="32"/>
          <w:lang w:val="en-US" w:eastAsia="zh-CN"/>
        </w:rPr>
        <w:t>组织实施；</w:t>
      </w:r>
      <w:r>
        <w:rPr>
          <w:rFonts w:hint="eastAsia" w:ascii="Times New Roman" w:hAnsi="Times New Roman" w:eastAsia="仿宋_GB2312"/>
          <w:b/>
          <w:bCs/>
          <w:spacing w:val="-4"/>
          <w:sz w:val="32"/>
          <w:lang w:val="en-US" w:eastAsia="zh-CN"/>
        </w:rPr>
        <w:t>三是</w:t>
      </w:r>
      <w:r>
        <w:rPr>
          <w:rFonts w:hint="eastAsia" w:ascii="Times New Roman" w:hAnsi="Times New Roman" w:eastAsia="仿宋_GB2312"/>
          <w:spacing w:val="-4"/>
          <w:sz w:val="32"/>
          <w:lang w:val="en-US" w:eastAsia="zh-CN"/>
        </w:rPr>
        <w:t>分析评价。</w:t>
      </w:r>
    </w:p>
    <w:p>
      <w:pPr>
        <w:keepNext w:val="0"/>
        <w:keepLines w:val="0"/>
        <w:pageBreakBefore w:val="0"/>
        <w:kinsoku/>
        <w:wordWrap/>
        <w:overflowPunct/>
        <w:topLinePunct w:val="0"/>
        <w:autoSpaceDE/>
        <w:autoSpaceDN/>
        <w:bidi w:val="0"/>
        <w:adjustRightInd w:val="0"/>
        <w:snapToGrid w:val="0"/>
        <w:spacing w:line="590" w:lineRule="exact"/>
        <w:ind w:left="0" w:right="0" w:firstLine="624" w:firstLineChars="200"/>
        <w:jc w:val="both"/>
        <w:rPr>
          <w:rFonts w:hint="eastAsia" w:ascii="Times New Roman" w:hAnsi="Times New Roman" w:eastAsia="黑体"/>
          <w:spacing w:val="-4"/>
          <w:sz w:val="32"/>
        </w:rPr>
      </w:pPr>
      <w:r>
        <w:rPr>
          <w:rFonts w:hint="eastAsia" w:ascii="Times New Roman" w:hAnsi="Times New Roman" w:eastAsia="黑体"/>
          <w:spacing w:val="-4"/>
          <w:sz w:val="32"/>
        </w:rPr>
        <w:t>二、项目资金申报及使用情况</w:t>
      </w:r>
    </w:p>
    <w:p>
      <w:pPr>
        <w:keepNext w:val="0"/>
        <w:keepLines w:val="0"/>
        <w:pageBreakBefore w:val="0"/>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eastAsia="楷体_GB2312"/>
          <w:b/>
          <w:color w:val="auto"/>
          <w:spacing w:val="-4"/>
          <w:sz w:val="32"/>
        </w:rPr>
      </w:pPr>
      <w:r>
        <w:rPr>
          <w:rFonts w:hint="eastAsia" w:ascii="Times New Roman" w:hAnsi="Times New Roman" w:eastAsia="楷体_GB2312"/>
          <w:b/>
          <w:color w:val="auto"/>
          <w:spacing w:val="-4"/>
          <w:sz w:val="32"/>
        </w:rPr>
        <w:t>（一）项目资金申报及批复情况</w:t>
      </w:r>
    </w:p>
    <w:p>
      <w:pPr>
        <w:pStyle w:val="2"/>
        <w:keepNext w:val="0"/>
        <w:keepLines w:val="0"/>
        <w:pageBreakBefore w:val="0"/>
        <w:numPr>
          <w:ilvl w:val="0"/>
          <w:numId w:val="0"/>
        </w:numPr>
        <w:kinsoku/>
        <w:wordWrap/>
        <w:overflowPunct/>
        <w:topLinePunct w:val="0"/>
        <w:autoSpaceDE/>
        <w:autoSpaceDN/>
        <w:bidi w:val="0"/>
        <w:adjustRightInd w:val="0"/>
        <w:snapToGrid w:val="0"/>
        <w:spacing w:line="590" w:lineRule="exact"/>
        <w:ind w:left="0" w:right="0" w:firstLine="624" w:firstLineChars="200"/>
        <w:jc w:val="both"/>
        <w:rPr>
          <w:rFonts w:hint="eastAsia" w:ascii="Times New Roman" w:hAnsi="Times New Roman" w:eastAsia="仿宋_GB2312"/>
          <w:color w:val="auto"/>
          <w:spacing w:val="-4"/>
          <w:sz w:val="32"/>
        </w:rPr>
      </w:pPr>
      <w:r>
        <w:rPr>
          <w:rFonts w:hint="eastAsia" w:ascii="Times New Roman" w:hAnsi="Times New Roman" w:eastAsia="仿宋_GB2312"/>
          <w:color w:val="auto"/>
          <w:spacing w:val="-4"/>
          <w:sz w:val="32"/>
        </w:rPr>
        <w:t>202</w:t>
      </w:r>
      <w:r>
        <w:rPr>
          <w:rFonts w:hint="eastAsia" w:ascii="Times New Roman" w:hAnsi="Times New Roman" w:eastAsia="仿宋_GB2312"/>
          <w:color w:val="auto"/>
          <w:spacing w:val="-4"/>
          <w:sz w:val="32"/>
          <w:lang w:eastAsia="zh-CN"/>
        </w:rPr>
        <w:t>３</w:t>
      </w:r>
      <w:r>
        <w:rPr>
          <w:rFonts w:hint="eastAsia" w:ascii="Times New Roman" w:hAnsi="Times New Roman" w:eastAsia="仿宋_GB2312"/>
          <w:color w:val="auto"/>
          <w:spacing w:val="-4"/>
          <w:sz w:val="32"/>
        </w:rPr>
        <w:t>年度</w:t>
      </w:r>
      <w:r>
        <w:rPr>
          <w:rFonts w:hint="eastAsia" w:ascii="Times New Roman" w:hAnsi="Times New Roman" w:eastAsia="仿宋_GB2312"/>
          <w:color w:val="auto"/>
          <w:spacing w:val="-4"/>
          <w:sz w:val="32"/>
          <w:lang w:eastAsia="zh-CN"/>
        </w:rPr>
        <w:t>处非工作组工作经费</w:t>
      </w:r>
      <w:r>
        <w:rPr>
          <w:rFonts w:hint="eastAsia" w:ascii="Times New Roman" w:hAnsi="Times New Roman" w:eastAsia="仿宋_GB2312"/>
          <w:color w:val="auto"/>
          <w:spacing w:val="-4"/>
          <w:sz w:val="32"/>
        </w:rPr>
        <w:t>项目于</w:t>
      </w:r>
      <w:r>
        <w:rPr>
          <w:rFonts w:hint="eastAsia" w:ascii="Times New Roman" w:hAnsi="Times New Roman" w:eastAsia="仿宋_GB2312"/>
          <w:color w:val="auto"/>
          <w:spacing w:val="-4"/>
          <w:sz w:val="32"/>
          <w:lang w:val="en-US" w:eastAsia="zh-CN"/>
        </w:rPr>
        <w:t>2023</w:t>
      </w:r>
      <w:r>
        <w:rPr>
          <w:rFonts w:hint="eastAsia" w:ascii="Times New Roman" w:hAnsi="Times New Roman" w:eastAsia="仿宋_GB2312"/>
          <w:color w:val="auto"/>
          <w:spacing w:val="-4"/>
          <w:sz w:val="32"/>
        </w:rPr>
        <w:t>年初向财政局进行资金申报工作，根据</w:t>
      </w:r>
      <w:r>
        <w:rPr>
          <w:rFonts w:hint="eastAsia" w:ascii="Times New Roman" w:hAnsi="Times New Roman" w:eastAsia="仿宋_GB2312"/>
          <w:color w:val="auto"/>
          <w:spacing w:val="-4"/>
          <w:sz w:val="32"/>
          <w:lang w:val="en-US" w:eastAsia="zh-CN"/>
        </w:rPr>
        <w:t>大金领办</w:t>
      </w:r>
      <w:r>
        <w:rPr>
          <w:rFonts w:hint="eastAsia" w:ascii="Times New Roman" w:hAnsi="Times New Roman" w:eastAsia="仿宋_GB2312"/>
          <w:color w:val="auto"/>
          <w:spacing w:val="-4"/>
          <w:sz w:val="32"/>
        </w:rPr>
        <w:t>〔</w:t>
      </w:r>
      <w:r>
        <w:rPr>
          <w:rFonts w:hint="eastAsia" w:ascii="Times New Roman" w:hAnsi="Times New Roman" w:eastAsia="仿宋_GB2312"/>
          <w:color w:val="auto"/>
          <w:spacing w:val="-4"/>
          <w:sz w:val="32"/>
          <w:lang w:val="en-US" w:eastAsia="zh-CN"/>
        </w:rPr>
        <w:t>2023</w:t>
      </w:r>
      <w:r>
        <w:rPr>
          <w:rFonts w:hint="eastAsia" w:ascii="Times New Roman" w:hAnsi="Times New Roman" w:eastAsia="仿宋_GB2312"/>
          <w:color w:val="auto"/>
          <w:spacing w:val="-4"/>
          <w:sz w:val="32"/>
        </w:rPr>
        <w:t>〕</w:t>
      </w:r>
      <w:r>
        <w:rPr>
          <w:rFonts w:hint="eastAsia" w:ascii="Times New Roman" w:hAnsi="Times New Roman" w:eastAsia="仿宋_GB2312"/>
          <w:color w:val="auto"/>
          <w:spacing w:val="-4"/>
          <w:sz w:val="32"/>
          <w:lang w:val="en-US" w:eastAsia="zh-CN"/>
        </w:rPr>
        <w:t>5</w:t>
      </w:r>
      <w:r>
        <w:rPr>
          <w:rFonts w:hint="eastAsia" w:ascii="Times New Roman" w:hAnsi="Times New Roman" w:eastAsia="仿宋_GB2312"/>
          <w:color w:val="auto"/>
          <w:spacing w:val="-4"/>
          <w:sz w:val="32"/>
        </w:rPr>
        <w:t>号等申报资料进行审议，批复下达预算资金</w:t>
      </w:r>
      <w:r>
        <w:rPr>
          <w:rFonts w:hint="eastAsia" w:ascii="Times New Roman" w:hAnsi="Times New Roman" w:eastAsia="仿宋_GB2312"/>
          <w:color w:val="auto"/>
          <w:spacing w:val="-4"/>
          <w:sz w:val="32"/>
          <w:lang w:val="en-US" w:eastAsia="zh-CN"/>
        </w:rPr>
        <w:t>１</w:t>
      </w:r>
      <w:r>
        <w:rPr>
          <w:rFonts w:hint="eastAsia" w:ascii="Times New Roman" w:hAnsi="Times New Roman" w:eastAsia="仿宋_GB2312"/>
          <w:color w:val="auto"/>
          <w:spacing w:val="-4"/>
          <w:sz w:val="32"/>
        </w:rPr>
        <w:t>万元。</w:t>
      </w:r>
    </w:p>
    <w:p>
      <w:pPr>
        <w:keepNext w:val="0"/>
        <w:keepLines w:val="0"/>
        <w:pageBreakBefore w:val="0"/>
        <w:numPr>
          <w:numId w:val="0"/>
        </w:numPr>
        <w:kinsoku/>
        <w:wordWrap/>
        <w:overflowPunct/>
        <w:topLinePunct w:val="0"/>
        <w:autoSpaceDE/>
        <w:autoSpaceDN/>
        <w:bidi w:val="0"/>
        <w:adjustRightInd w:val="0"/>
        <w:snapToGrid w:val="0"/>
        <w:spacing w:line="590" w:lineRule="exact"/>
        <w:ind w:right="0" w:rightChars="0" w:firstLine="627" w:firstLineChars="200"/>
        <w:jc w:val="both"/>
        <w:rPr>
          <w:rFonts w:hint="eastAsia" w:ascii="Times New Roman" w:hAnsi="Times New Roman" w:eastAsia="楷体_GB2312"/>
          <w:b/>
          <w:color w:val="auto"/>
          <w:spacing w:val="-4"/>
          <w:sz w:val="32"/>
        </w:rPr>
      </w:pPr>
      <w:r>
        <w:rPr>
          <w:rFonts w:hint="eastAsia" w:ascii="Times New Roman" w:hAnsi="Times New Roman" w:eastAsia="楷体_GB2312"/>
          <w:b/>
          <w:color w:val="auto"/>
          <w:spacing w:val="-4"/>
          <w:sz w:val="32"/>
          <w:lang w:eastAsia="zh-CN"/>
        </w:rPr>
        <w:t>（</w:t>
      </w:r>
      <w:r>
        <w:rPr>
          <w:rFonts w:hint="eastAsia" w:ascii="Times New Roman" w:hAnsi="Times New Roman" w:eastAsia="楷体_GB2312"/>
          <w:b/>
          <w:color w:val="auto"/>
          <w:spacing w:val="-4"/>
          <w:sz w:val="32"/>
          <w:lang w:val="en-US" w:eastAsia="zh-CN"/>
        </w:rPr>
        <w:t>二</w:t>
      </w:r>
      <w:r>
        <w:rPr>
          <w:rFonts w:hint="eastAsia" w:ascii="Times New Roman" w:hAnsi="Times New Roman" w:eastAsia="楷体_GB2312"/>
          <w:b/>
          <w:color w:val="auto"/>
          <w:spacing w:val="-4"/>
          <w:sz w:val="32"/>
          <w:lang w:eastAsia="zh-CN"/>
        </w:rPr>
        <w:t>）</w:t>
      </w:r>
      <w:r>
        <w:rPr>
          <w:rFonts w:hint="eastAsia" w:ascii="Times New Roman" w:hAnsi="Times New Roman" w:eastAsia="楷体_GB2312"/>
          <w:b/>
          <w:color w:val="auto"/>
          <w:spacing w:val="-4"/>
          <w:sz w:val="32"/>
        </w:rPr>
        <w:t>资金计划、到位及使用情况</w:t>
      </w:r>
    </w:p>
    <w:tbl>
      <w:tblPr>
        <w:tblStyle w:val="13"/>
        <w:tblpPr w:leftFromText="180" w:rightFromText="180" w:vertAnchor="text" w:horzAnchor="page" w:tblpXSpec="center" w:tblpY="732"/>
        <w:tblOverlap w:val="never"/>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3288"/>
        <w:gridCol w:w="1474"/>
        <w:gridCol w:w="1587"/>
        <w:gridCol w:w="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232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项目名称</w:t>
            </w:r>
          </w:p>
        </w:tc>
        <w:tc>
          <w:tcPr>
            <w:tcW w:w="328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中央、省、市（州）、县（市、区）财政资金</w:t>
            </w:r>
            <w:r>
              <w:rPr>
                <w:rFonts w:hint="eastAsia" w:ascii="Times New Roman" w:hAnsi="Times New Roman" w:eastAsia="黑体"/>
                <w:color w:val="auto"/>
                <w:spacing w:val="-4"/>
                <w:kern w:val="0"/>
                <w:sz w:val="24"/>
                <w:szCs w:val="22"/>
                <w:lang w:eastAsia="zh-CN"/>
              </w:rPr>
              <w:t>（</w:t>
            </w:r>
            <w:r>
              <w:rPr>
                <w:rFonts w:hint="eastAsia" w:ascii="Times New Roman" w:hAnsi="Times New Roman" w:eastAsia="黑体"/>
                <w:color w:val="auto"/>
                <w:spacing w:val="-4"/>
                <w:kern w:val="0"/>
                <w:sz w:val="24"/>
                <w:szCs w:val="22"/>
                <w:lang w:val="en-US" w:eastAsia="zh-CN"/>
              </w:rPr>
              <w:t>万元</w:t>
            </w:r>
            <w:r>
              <w:rPr>
                <w:rFonts w:hint="eastAsia" w:ascii="Times New Roman" w:hAnsi="Times New Roman" w:eastAsia="黑体"/>
                <w:color w:val="auto"/>
                <w:spacing w:val="-4"/>
                <w:kern w:val="0"/>
                <w:sz w:val="24"/>
                <w:szCs w:val="22"/>
                <w:lang w:eastAsia="zh-CN"/>
              </w:rPr>
              <w:t>）</w:t>
            </w:r>
          </w:p>
        </w:tc>
        <w:tc>
          <w:tcPr>
            <w:tcW w:w="147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项目单位自筹</w:t>
            </w:r>
            <w:r>
              <w:rPr>
                <w:rFonts w:hint="eastAsia" w:ascii="Times New Roman" w:hAnsi="Times New Roman" w:eastAsia="黑体"/>
                <w:color w:val="auto"/>
                <w:spacing w:val="-4"/>
                <w:kern w:val="0"/>
                <w:sz w:val="24"/>
                <w:szCs w:val="22"/>
                <w:lang w:eastAsia="zh-CN"/>
              </w:rPr>
              <w:t>（</w:t>
            </w:r>
            <w:r>
              <w:rPr>
                <w:rFonts w:hint="eastAsia" w:ascii="Times New Roman" w:hAnsi="Times New Roman" w:eastAsia="黑体"/>
                <w:color w:val="auto"/>
                <w:spacing w:val="-4"/>
                <w:kern w:val="0"/>
                <w:sz w:val="24"/>
                <w:szCs w:val="22"/>
                <w:lang w:val="en-US" w:eastAsia="zh-CN"/>
              </w:rPr>
              <w:t>万元</w:t>
            </w:r>
            <w:r>
              <w:rPr>
                <w:rFonts w:hint="eastAsia" w:ascii="Times New Roman" w:hAnsi="Times New Roman" w:eastAsia="黑体"/>
                <w:color w:val="auto"/>
                <w:spacing w:val="-4"/>
                <w:kern w:val="0"/>
                <w:sz w:val="24"/>
                <w:szCs w:val="22"/>
                <w:lang w:eastAsia="zh-CN"/>
              </w:rPr>
              <w:t>）</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其他渠道资金</w:t>
            </w:r>
            <w:r>
              <w:rPr>
                <w:rFonts w:hint="eastAsia" w:ascii="Times New Roman" w:hAnsi="Times New Roman" w:eastAsia="黑体"/>
                <w:color w:val="auto"/>
                <w:spacing w:val="-4"/>
                <w:kern w:val="0"/>
                <w:sz w:val="24"/>
                <w:szCs w:val="22"/>
                <w:lang w:eastAsia="zh-CN"/>
              </w:rPr>
              <w:t>（</w:t>
            </w:r>
            <w:r>
              <w:rPr>
                <w:rFonts w:hint="eastAsia" w:ascii="Times New Roman" w:hAnsi="Times New Roman" w:eastAsia="黑体"/>
                <w:color w:val="auto"/>
                <w:spacing w:val="-4"/>
                <w:kern w:val="0"/>
                <w:sz w:val="24"/>
                <w:szCs w:val="22"/>
                <w:lang w:val="en-US" w:eastAsia="zh-CN"/>
              </w:rPr>
              <w:t>万元</w:t>
            </w:r>
            <w:r>
              <w:rPr>
                <w:rFonts w:hint="eastAsia" w:ascii="Times New Roman" w:hAnsi="Times New Roman" w:eastAsia="黑体"/>
                <w:color w:val="auto"/>
                <w:spacing w:val="-4"/>
                <w:kern w:val="0"/>
                <w:sz w:val="24"/>
                <w:szCs w:val="22"/>
                <w:lang w:eastAsia="zh-CN"/>
              </w:rPr>
              <w:t>）</w:t>
            </w:r>
          </w:p>
        </w:tc>
        <w:tc>
          <w:tcPr>
            <w:tcW w:w="39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2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eastAsia"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处非工作组工作经费</w:t>
            </w:r>
          </w:p>
        </w:tc>
        <w:tc>
          <w:tcPr>
            <w:tcW w:w="3288"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default"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1</w:t>
            </w:r>
          </w:p>
        </w:tc>
        <w:tc>
          <w:tcPr>
            <w:tcW w:w="147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eastAsia"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0</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eastAsia"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0</w:t>
            </w:r>
          </w:p>
        </w:tc>
        <w:tc>
          <w:tcPr>
            <w:tcW w:w="397"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left="0" w:right="0" w:firstLine="464" w:firstLineChars="200"/>
              <w:jc w:val="center"/>
              <w:rPr>
                <w:rFonts w:hint="eastAsia" w:ascii="Times New Roman" w:hAnsi="Times New Roman" w:eastAsia="仿宋_GB2312" w:cs="Times New Roman"/>
                <w:color w:val="auto"/>
                <w:spacing w:val="-4"/>
                <w:kern w:val="0"/>
                <w:sz w:val="24"/>
                <w:szCs w:val="22"/>
                <w:lang w:val="en-US" w:eastAsia="zh-CN" w:bidi="ar-SA"/>
              </w:rPr>
            </w:pPr>
          </w:p>
        </w:tc>
      </w:tr>
    </w:tbl>
    <w:p>
      <w:pPr>
        <w:keepNext w:val="0"/>
        <w:keepLines w:val="0"/>
        <w:pageBreakBefore w:val="0"/>
        <w:kinsoku/>
        <w:wordWrap/>
        <w:overflowPunct/>
        <w:topLinePunct w:val="0"/>
        <w:autoSpaceDE/>
        <w:autoSpaceDN/>
        <w:bidi w:val="0"/>
        <w:adjustRightInd w:val="0"/>
        <w:snapToGrid w:val="0"/>
        <w:spacing w:line="590" w:lineRule="exact"/>
        <w:ind w:left="0" w:right="0" w:firstLine="627" w:firstLineChars="200"/>
        <w:jc w:val="both"/>
        <w:rPr>
          <w:rFonts w:hint="eastAsia" w:ascii="Times New Roman" w:hAnsi="Times New Roman" w:eastAsia="仿宋_GB2312"/>
          <w:color w:val="auto"/>
          <w:spacing w:val="-4"/>
          <w:sz w:val="32"/>
        </w:rPr>
      </w:pPr>
      <w:r>
        <w:rPr>
          <w:rFonts w:hint="eastAsia" w:ascii="Times New Roman" w:hAnsi="Times New Roman" w:eastAsia="仿宋_GB2312"/>
          <w:b/>
          <w:color w:val="auto"/>
          <w:spacing w:val="-4"/>
          <w:sz w:val="32"/>
        </w:rPr>
        <w:t>1</w:t>
      </w:r>
      <w:r>
        <w:rPr>
          <w:rFonts w:hint="eastAsia" w:ascii="Times New Roman" w:hAnsi="Times New Roman" w:eastAsia="仿宋_GB2312"/>
          <w:b/>
          <w:color w:val="auto"/>
          <w:spacing w:val="-4"/>
          <w:sz w:val="32"/>
          <w:lang w:val="en-US" w:eastAsia="zh-CN"/>
        </w:rPr>
        <w:t>.</w:t>
      </w:r>
      <w:r>
        <w:rPr>
          <w:rFonts w:hint="eastAsia" w:ascii="Times New Roman" w:hAnsi="Times New Roman" w:eastAsia="仿宋_GB2312"/>
          <w:b/>
          <w:color w:val="auto"/>
          <w:spacing w:val="-4"/>
          <w:sz w:val="32"/>
        </w:rPr>
        <w:t>资金计划</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590" w:lineRule="exact"/>
        <w:ind w:left="0" w:leftChars="0" w:right="0" w:rightChars="0" w:firstLine="627" w:firstLineChars="200"/>
        <w:jc w:val="both"/>
        <w:textAlignment w:val="auto"/>
        <w:outlineLvl w:val="9"/>
        <w:rPr>
          <w:rFonts w:hint="eastAsia" w:ascii="Times New Roman" w:hAnsi="Times New Roman" w:eastAsia="仿宋_GB2312"/>
          <w:spacing w:val="-4"/>
          <w:sz w:val="32"/>
          <w:highlight w:val="yellow"/>
        </w:rPr>
      </w:pPr>
      <w:r>
        <w:rPr>
          <w:rFonts w:hint="eastAsia" w:ascii="Times New Roman" w:hAnsi="Times New Roman" w:eastAsia="仿宋_GB2312"/>
          <w:b/>
          <w:spacing w:val="-4"/>
          <w:sz w:val="32"/>
        </w:rPr>
        <w:t>2.资金到位</w:t>
      </w:r>
    </w:p>
    <w:tbl>
      <w:tblPr>
        <w:tblStyle w:val="13"/>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2891"/>
        <w:gridCol w:w="1950"/>
        <w:gridCol w:w="1361"/>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000000"/>
                <w:spacing w:val="-4"/>
                <w:kern w:val="0"/>
                <w:sz w:val="24"/>
                <w:szCs w:val="22"/>
              </w:rPr>
            </w:pPr>
            <w:r>
              <w:rPr>
                <w:rFonts w:hint="eastAsia" w:ascii="Times New Roman" w:hAnsi="Times New Roman" w:eastAsia="黑体"/>
                <w:color w:val="000000"/>
                <w:spacing w:val="-4"/>
                <w:kern w:val="0"/>
                <w:sz w:val="24"/>
                <w:szCs w:val="22"/>
              </w:rPr>
              <w:t>项目名称</w:t>
            </w:r>
          </w:p>
        </w:tc>
        <w:tc>
          <w:tcPr>
            <w:tcW w:w="289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000000"/>
                <w:spacing w:val="-4"/>
                <w:kern w:val="0"/>
                <w:sz w:val="24"/>
                <w:szCs w:val="22"/>
                <w:lang w:eastAsia="zh-CN"/>
              </w:rPr>
            </w:pPr>
            <w:r>
              <w:rPr>
                <w:rFonts w:hint="eastAsia" w:ascii="Times New Roman" w:hAnsi="Times New Roman" w:eastAsia="黑体"/>
                <w:color w:val="000000"/>
                <w:spacing w:val="-4"/>
                <w:kern w:val="0"/>
                <w:sz w:val="24"/>
                <w:szCs w:val="22"/>
              </w:rPr>
              <w:t>中央、省、市（州）、县级财政资金</w:t>
            </w:r>
            <w:r>
              <w:rPr>
                <w:rFonts w:hint="eastAsia" w:ascii="Times New Roman" w:hAnsi="Times New Roman" w:eastAsia="黑体"/>
                <w:color w:val="000000"/>
                <w:spacing w:val="-4"/>
                <w:kern w:val="0"/>
                <w:sz w:val="24"/>
                <w:szCs w:val="22"/>
                <w:lang w:eastAsia="zh-CN"/>
              </w:rPr>
              <w:t>（</w:t>
            </w:r>
            <w:r>
              <w:rPr>
                <w:rFonts w:hint="eastAsia" w:ascii="Times New Roman" w:hAnsi="Times New Roman" w:eastAsia="黑体"/>
                <w:color w:val="000000"/>
                <w:spacing w:val="-4"/>
                <w:kern w:val="0"/>
                <w:sz w:val="24"/>
                <w:szCs w:val="22"/>
                <w:lang w:val="en-US" w:eastAsia="zh-CN"/>
              </w:rPr>
              <w:t>万元</w:t>
            </w:r>
            <w:r>
              <w:rPr>
                <w:rFonts w:hint="eastAsia" w:ascii="Times New Roman" w:hAnsi="Times New Roman" w:eastAsia="黑体"/>
                <w:color w:val="000000"/>
                <w:spacing w:val="-4"/>
                <w:kern w:val="0"/>
                <w:sz w:val="24"/>
                <w:szCs w:val="22"/>
                <w:lang w:eastAsia="zh-CN"/>
              </w:rPr>
              <w:t>）</w:t>
            </w:r>
          </w:p>
        </w:tc>
        <w:tc>
          <w:tcPr>
            <w:tcW w:w="195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000000"/>
                <w:spacing w:val="-4"/>
                <w:kern w:val="0"/>
                <w:sz w:val="24"/>
                <w:szCs w:val="22"/>
              </w:rPr>
            </w:pPr>
            <w:r>
              <w:rPr>
                <w:rFonts w:hint="eastAsia" w:ascii="Times New Roman" w:hAnsi="Times New Roman" w:eastAsia="黑体"/>
                <w:color w:val="000000"/>
                <w:spacing w:val="-4"/>
                <w:kern w:val="0"/>
                <w:sz w:val="24"/>
                <w:szCs w:val="22"/>
              </w:rPr>
              <w:t>资金计划</w:t>
            </w:r>
            <w:r>
              <w:rPr>
                <w:rFonts w:hint="eastAsia" w:ascii="Times New Roman" w:hAnsi="Times New Roman" w:eastAsia="黑体"/>
                <w:color w:val="000000"/>
                <w:spacing w:val="-4"/>
                <w:kern w:val="0"/>
                <w:sz w:val="24"/>
                <w:szCs w:val="22"/>
                <w:lang w:eastAsia="zh-CN"/>
              </w:rPr>
              <w:t>（</w:t>
            </w:r>
            <w:r>
              <w:rPr>
                <w:rFonts w:hint="eastAsia" w:ascii="Times New Roman" w:hAnsi="Times New Roman" w:eastAsia="黑体"/>
                <w:color w:val="000000"/>
                <w:spacing w:val="-4"/>
                <w:kern w:val="0"/>
                <w:sz w:val="24"/>
                <w:szCs w:val="22"/>
                <w:lang w:val="en-US" w:eastAsia="zh-CN"/>
              </w:rPr>
              <w:t>万元</w:t>
            </w:r>
            <w:r>
              <w:rPr>
                <w:rFonts w:hint="eastAsia" w:ascii="Times New Roman" w:hAnsi="Times New Roman" w:eastAsia="黑体"/>
                <w:color w:val="000000"/>
                <w:spacing w:val="-4"/>
                <w:kern w:val="0"/>
                <w:sz w:val="24"/>
                <w:szCs w:val="22"/>
                <w:lang w:eastAsia="zh-CN"/>
              </w:rPr>
              <w:t>）</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000000"/>
                <w:spacing w:val="-4"/>
                <w:kern w:val="0"/>
                <w:sz w:val="24"/>
                <w:szCs w:val="22"/>
              </w:rPr>
            </w:pPr>
            <w:r>
              <w:rPr>
                <w:rFonts w:hint="eastAsia" w:ascii="Times New Roman" w:hAnsi="Times New Roman" w:eastAsia="黑体"/>
                <w:color w:val="000000"/>
                <w:spacing w:val="-4"/>
                <w:kern w:val="0"/>
                <w:sz w:val="24"/>
                <w:szCs w:val="22"/>
              </w:rPr>
              <w:t>资金到位情况</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olor w:val="000000"/>
                <w:spacing w:val="-4"/>
                <w:kern w:val="0"/>
                <w:sz w:val="24"/>
                <w:szCs w:val="22"/>
              </w:rPr>
            </w:pPr>
            <w:r>
              <w:rPr>
                <w:rFonts w:hint="eastAsia" w:ascii="Times New Roman" w:hAnsi="Times New Roman" w:eastAsia="黑体"/>
                <w:color w:val="000000"/>
                <w:spacing w:val="-4"/>
                <w:kern w:val="0"/>
                <w:sz w:val="24"/>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2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eastAsia"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处非工作组工作经费</w:t>
            </w:r>
          </w:p>
        </w:tc>
        <w:tc>
          <w:tcPr>
            <w:tcW w:w="2891"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default"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1</w:t>
            </w:r>
          </w:p>
        </w:tc>
        <w:tc>
          <w:tcPr>
            <w:tcW w:w="1950"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default"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1</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jc w:val="both"/>
              <w:rPr>
                <w:rFonts w:hint="eastAsia" w:ascii="Times New Roman" w:hAnsi="Times New Roman" w:eastAsia="仿宋_GB2312" w:cs="Times New Roman"/>
                <w:color w:val="auto"/>
                <w:spacing w:val="-4"/>
                <w:kern w:val="0"/>
                <w:sz w:val="24"/>
                <w:szCs w:val="22"/>
                <w:lang w:val="en-US" w:eastAsia="zh-CN" w:bidi="ar-SA"/>
              </w:rPr>
            </w:pPr>
            <w:r>
              <w:rPr>
                <w:rFonts w:hint="eastAsia" w:ascii="Times New Roman" w:hAnsi="Times New Roman" w:eastAsia="仿宋_GB2312" w:cs="Times New Roman"/>
                <w:color w:val="auto"/>
                <w:spacing w:val="-4"/>
                <w:kern w:val="0"/>
                <w:sz w:val="24"/>
                <w:szCs w:val="22"/>
                <w:lang w:val="en-US" w:eastAsia="zh-CN" w:bidi="ar-SA"/>
              </w:rPr>
              <w:t>100%</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left="0" w:right="0" w:firstLine="464" w:firstLineChars="200"/>
              <w:jc w:val="both"/>
              <w:rPr>
                <w:rFonts w:hint="eastAsia" w:ascii="Times New Roman" w:hAnsi="Times New Roman" w:eastAsia="仿宋_GB2312" w:cs="Times New Roman"/>
                <w:color w:val="auto"/>
                <w:spacing w:val="-4"/>
                <w:kern w:val="0"/>
                <w:sz w:val="24"/>
                <w:szCs w:val="22"/>
                <w:lang w:val="en-US" w:eastAsia="zh-CN" w:bidi="ar-SA"/>
              </w:rPr>
            </w:pPr>
          </w:p>
        </w:tc>
      </w:tr>
    </w:tbl>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7" w:beforeLines="50" w:after="157" w:afterLines="50" w:line="590" w:lineRule="exact"/>
        <w:ind w:leftChars="0" w:right="0" w:rightChars="0" w:firstLine="627" w:firstLineChars="200"/>
        <w:jc w:val="both"/>
        <w:textAlignment w:val="baseline"/>
        <w:rPr>
          <w:rFonts w:hint="eastAsia" w:ascii="Times New Roman" w:hAnsi="Times New Roman" w:eastAsia="仿宋_GB2312"/>
          <w:b/>
          <w:color w:val="000000"/>
          <w:spacing w:val="-4"/>
          <w:sz w:val="32"/>
        </w:rPr>
      </w:pPr>
      <w:r>
        <w:rPr>
          <w:rFonts w:hint="eastAsia" w:ascii="Times New Roman" w:hAnsi="Times New Roman" w:eastAsia="仿宋_GB2312"/>
          <w:b/>
          <w:color w:val="000000"/>
          <w:spacing w:val="-4"/>
          <w:sz w:val="32"/>
          <w:lang w:val="en-US" w:eastAsia="zh-CN"/>
        </w:rPr>
        <w:t>3.</w:t>
      </w:r>
      <w:r>
        <w:rPr>
          <w:rFonts w:hint="eastAsia" w:ascii="Times New Roman" w:hAnsi="Times New Roman" w:eastAsia="仿宋_GB2312"/>
          <w:b/>
          <w:color w:val="000000"/>
          <w:spacing w:val="-4"/>
          <w:sz w:val="32"/>
        </w:rPr>
        <w:t>资金使用</w:t>
      </w:r>
    </w:p>
    <w:tbl>
      <w:tblPr>
        <w:tblStyle w:val="13"/>
        <w:tblW w:w="10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644"/>
        <w:gridCol w:w="1036"/>
        <w:gridCol w:w="996"/>
        <w:gridCol w:w="954"/>
        <w:gridCol w:w="846"/>
        <w:gridCol w:w="804"/>
        <w:gridCol w:w="1378"/>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项目名称</w:t>
            </w:r>
          </w:p>
        </w:tc>
        <w:tc>
          <w:tcPr>
            <w:tcW w:w="164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县统计资金支出情况</w:t>
            </w:r>
          </w:p>
        </w:tc>
        <w:tc>
          <w:tcPr>
            <w:tcW w:w="103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支付安全性</w:t>
            </w:r>
          </w:p>
        </w:tc>
        <w:tc>
          <w:tcPr>
            <w:tcW w:w="99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支付规范性</w:t>
            </w:r>
          </w:p>
        </w:tc>
        <w:tc>
          <w:tcPr>
            <w:tcW w:w="95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支付有效性</w:t>
            </w:r>
          </w:p>
        </w:tc>
        <w:tc>
          <w:tcPr>
            <w:tcW w:w="84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支付标准</w:t>
            </w:r>
          </w:p>
        </w:tc>
        <w:tc>
          <w:tcPr>
            <w:tcW w:w="80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支付进度</w:t>
            </w:r>
          </w:p>
        </w:tc>
        <w:tc>
          <w:tcPr>
            <w:tcW w:w="137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支付依据</w:t>
            </w:r>
          </w:p>
        </w:tc>
        <w:tc>
          <w:tcPr>
            <w:tcW w:w="1186"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center"/>
              <w:textAlignment w:val="center"/>
              <w:rPr>
                <w:rFonts w:hint="eastAsia" w:ascii="Times New Roman" w:hAnsi="Times New Roman" w:eastAsia="黑体" w:cs="Times New Roman"/>
                <w:color w:val="000000"/>
                <w:spacing w:val="-4"/>
                <w:kern w:val="0"/>
                <w:sz w:val="24"/>
                <w:szCs w:val="22"/>
                <w:lang w:val="en-US" w:eastAsia="zh-CN"/>
              </w:rPr>
            </w:pPr>
            <w:r>
              <w:rPr>
                <w:rFonts w:hint="eastAsia" w:ascii="Times New Roman" w:hAnsi="Times New Roman" w:eastAsia="黑体" w:cs="Times New Roman"/>
                <w:color w:val="000000"/>
                <w:spacing w:val="-4"/>
                <w:kern w:val="0"/>
                <w:sz w:val="24"/>
                <w:szCs w:val="22"/>
                <w:lang w:val="en-US" w:eastAsia="zh-CN"/>
              </w:rPr>
              <w:t>是否与预算相符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both"/>
              <w:rPr>
                <w:rFonts w:hint="eastAsia" w:ascii="Times New Roman" w:hAnsi="Times New Roman" w:eastAsia="仿宋_GB2312"/>
                <w:color w:val="auto"/>
                <w:spacing w:val="-4"/>
                <w:sz w:val="28"/>
                <w:szCs w:val="28"/>
                <w:lang w:val="en-US" w:eastAsia="zh-CN"/>
              </w:rPr>
            </w:pPr>
            <w:r>
              <w:rPr>
                <w:rFonts w:hint="eastAsia" w:ascii="Times New Roman" w:hAnsi="Times New Roman" w:eastAsia="仿宋_GB2312" w:cs="Times New Roman"/>
                <w:color w:val="auto"/>
                <w:spacing w:val="-4"/>
                <w:kern w:val="0"/>
                <w:sz w:val="24"/>
                <w:szCs w:val="22"/>
                <w:lang w:val="en-US" w:eastAsia="zh-CN" w:bidi="ar-SA"/>
              </w:rPr>
              <w:t>处非工作组工作经费</w:t>
            </w:r>
          </w:p>
        </w:tc>
        <w:tc>
          <w:tcPr>
            <w:tcW w:w="164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both"/>
              <w:rPr>
                <w:rFonts w:hint="default"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已于2023年12月31日以前支付345原</w:t>
            </w:r>
          </w:p>
        </w:tc>
        <w:tc>
          <w:tcPr>
            <w:tcW w:w="1036"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center"/>
              <w:rPr>
                <w:rFonts w:hint="eastAsia"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安全</w:t>
            </w:r>
          </w:p>
        </w:tc>
        <w:tc>
          <w:tcPr>
            <w:tcW w:w="996"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center"/>
              <w:rPr>
                <w:rFonts w:hint="eastAsia"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规范</w:t>
            </w:r>
          </w:p>
        </w:tc>
        <w:tc>
          <w:tcPr>
            <w:tcW w:w="95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center"/>
              <w:rPr>
                <w:rFonts w:hint="eastAsia"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有效</w:t>
            </w:r>
          </w:p>
        </w:tc>
        <w:tc>
          <w:tcPr>
            <w:tcW w:w="846"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center"/>
              <w:rPr>
                <w:rFonts w:hint="eastAsia" w:ascii="Times New Roman" w:hAnsi="Times New Roman" w:eastAsia="仿宋_GB2312"/>
                <w:color w:val="auto"/>
                <w:spacing w:val="-4"/>
                <w:sz w:val="28"/>
                <w:szCs w:val="28"/>
                <w:lang w:val="en-US" w:eastAsia="zh-CN"/>
              </w:rPr>
            </w:pPr>
            <w:r>
              <w:rPr>
                <w:rFonts w:hint="eastAsia" w:ascii="Times New Roman" w:hAnsi="Times New Roman" w:eastAsia="仿宋_GB2312"/>
                <w:color w:val="auto"/>
                <w:spacing w:val="-4"/>
                <w:sz w:val="24"/>
                <w:szCs w:val="24"/>
                <w:lang w:val="en-US" w:eastAsia="zh-CN"/>
              </w:rPr>
              <w:t>符合标准</w:t>
            </w:r>
          </w:p>
        </w:tc>
        <w:tc>
          <w:tcPr>
            <w:tcW w:w="804"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both"/>
              <w:rPr>
                <w:rFonts w:hint="default"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3.45%</w:t>
            </w:r>
          </w:p>
        </w:tc>
        <w:tc>
          <w:tcPr>
            <w:tcW w:w="1378"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both"/>
              <w:rPr>
                <w:rFonts w:hint="eastAsia"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票据齐全2023年1-12月</w:t>
            </w:r>
          </w:p>
        </w:tc>
        <w:tc>
          <w:tcPr>
            <w:tcW w:w="1186" w:type="dxa"/>
            <w:tcBorders>
              <w:top w:val="single" w:color="auto" w:sz="4" w:space="0"/>
              <w:left w:val="single" w:color="auto" w:sz="4" w:space="0"/>
              <w:bottom w:val="single" w:color="auto" w:sz="4" w:space="0"/>
              <w:right w:val="single" w:color="auto" w:sz="4" w:space="0"/>
              <w:tl2br w:val="nil"/>
              <w:tr2bl w:val="nil"/>
            </w:tcBorders>
            <w:vAlign w:val="center"/>
          </w:tcPr>
          <w:p>
            <w:pPr>
              <w:pStyle w:val="2"/>
              <w:keepNext w:val="0"/>
              <w:keepLines w:val="0"/>
              <w:pageBreakBefore w:val="0"/>
              <w:widowControl/>
              <w:numPr>
                <w:ilvl w:val="0"/>
                <w:numId w:val="0"/>
              </w:numPr>
              <w:kinsoku/>
              <w:wordWrap/>
              <w:overflowPunct/>
              <w:topLinePunct w:val="0"/>
              <w:autoSpaceDE/>
              <w:autoSpaceDN/>
              <w:bidi w:val="0"/>
              <w:adjustRightInd w:val="0"/>
              <w:snapToGrid w:val="0"/>
              <w:spacing w:line="0" w:lineRule="atLeast"/>
              <w:ind w:right="0" w:rightChars="0"/>
              <w:jc w:val="center"/>
              <w:rPr>
                <w:rFonts w:hint="eastAsia" w:ascii="Times New Roman" w:hAnsi="Times New Roman" w:eastAsia="仿宋_GB2312"/>
                <w:color w:val="auto"/>
                <w:spacing w:val="-4"/>
                <w:sz w:val="24"/>
                <w:szCs w:val="24"/>
                <w:lang w:val="en-US" w:eastAsia="zh-CN"/>
              </w:rPr>
            </w:pPr>
            <w:r>
              <w:rPr>
                <w:rFonts w:hint="eastAsia" w:ascii="Times New Roman" w:hAnsi="Times New Roman" w:eastAsia="仿宋_GB2312"/>
                <w:color w:val="auto"/>
                <w:spacing w:val="-4"/>
                <w:sz w:val="24"/>
                <w:szCs w:val="24"/>
                <w:lang w:val="en-US" w:eastAsia="zh-CN"/>
              </w:rPr>
              <w:t>符合</w:t>
            </w:r>
          </w:p>
        </w:tc>
      </w:tr>
    </w:tbl>
    <w:p>
      <w:pPr>
        <w:keepNext w:val="0"/>
        <w:keepLines w:val="0"/>
        <w:pageBreakBefore w:val="0"/>
        <w:widowControl/>
        <w:kinsoku/>
        <w:wordWrap/>
        <w:overflowPunct/>
        <w:topLinePunct w:val="0"/>
        <w:autoSpaceDE/>
        <w:autoSpaceDN/>
        <w:bidi w:val="0"/>
        <w:adjustRightInd w:val="0"/>
        <w:snapToGrid w:val="0"/>
        <w:spacing w:before="157" w:beforeLines="50" w:line="590" w:lineRule="exact"/>
        <w:ind w:left="0" w:right="0" w:firstLine="627" w:firstLineChars="200"/>
        <w:jc w:val="both"/>
        <w:textAlignment w:val="baseline"/>
        <w:rPr>
          <w:rFonts w:hint="eastAsia" w:ascii="Times New Roman" w:hAnsi="Times New Roman" w:eastAsia="楷体_GB2312"/>
          <w:b/>
          <w:spacing w:val="-4"/>
          <w:sz w:val="32"/>
        </w:rPr>
      </w:pPr>
      <w:r>
        <w:rPr>
          <w:rFonts w:hint="eastAsia" w:ascii="Times New Roman" w:hAnsi="Times New Roman" w:eastAsia="楷体_GB2312"/>
          <w:b/>
          <w:spacing w:val="-4"/>
          <w:sz w:val="32"/>
        </w:rPr>
        <w:t>（三）项目财务管理情况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t>大英县商务和经济合作局财务管理制度健全，</w:t>
      </w:r>
      <w:r>
        <w:rPr>
          <w:rFonts w:hint="eastAsia" w:ascii="Times New Roman" w:hAnsi="Times New Roman" w:eastAsia="仿宋_GB2312"/>
          <w:color w:val="auto"/>
          <w:spacing w:val="-4"/>
          <w:sz w:val="32"/>
        </w:rPr>
        <w:t>202</w:t>
      </w:r>
      <w:r>
        <w:rPr>
          <w:rFonts w:hint="eastAsia" w:ascii="Times New Roman" w:hAnsi="Times New Roman" w:eastAsia="仿宋_GB2312"/>
          <w:color w:val="auto"/>
          <w:spacing w:val="-4"/>
          <w:sz w:val="32"/>
          <w:lang w:val="en-US" w:eastAsia="zh-CN"/>
        </w:rPr>
        <w:t>3</w:t>
      </w:r>
      <w:r>
        <w:rPr>
          <w:rFonts w:hint="eastAsia" w:ascii="Times New Roman" w:hAnsi="Times New Roman" w:eastAsia="仿宋_GB2312"/>
          <w:color w:val="auto"/>
          <w:spacing w:val="-4"/>
          <w:sz w:val="32"/>
        </w:rPr>
        <w:t>年度</w:t>
      </w:r>
      <w:r>
        <w:rPr>
          <w:rFonts w:hint="eastAsia" w:ascii="Times New Roman" w:hAnsi="Times New Roman" w:eastAsia="仿宋_GB2312"/>
          <w:color w:val="auto"/>
          <w:spacing w:val="-4"/>
          <w:sz w:val="32"/>
          <w:lang w:eastAsia="zh-CN"/>
        </w:rPr>
        <w:t>处非工作组工作经费</w:t>
      </w:r>
      <w:r>
        <w:rPr>
          <w:rFonts w:hint="eastAsia" w:ascii="Times New Roman" w:hAnsi="Times New Roman" w:eastAsia="仿宋_GB2312" w:cs="Times New Roman"/>
          <w:color w:val="auto"/>
          <w:spacing w:val="-4"/>
          <w:kern w:val="2"/>
          <w:sz w:val="32"/>
          <w:szCs w:val="24"/>
          <w:lang w:val="en-US" w:eastAsia="zh-CN" w:bidi="ar-SA"/>
        </w:rPr>
        <w:t>按照</w:t>
      </w:r>
      <w:r>
        <w:rPr>
          <w:rFonts w:hint="eastAsia" w:ascii="Times New Roman" w:hAnsi="Times New Roman" w:eastAsia="仿宋_GB2312" w:cstheme="minorBidi"/>
          <w:color w:val="auto"/>
          <w:spacing w:val="-4"/>
          <w:kern w:val="2"/>
          <w:sz w:val="32"/>
          <w:szCs w:val="24"/>
          <w:lang w:val="en-US" w:eastAsia="zh-CN" w:bidi="ar-SA"/>
        </w:rPr>
        <w:t>《防范和处置非法集资条例》</w:t>
      </w:r>
      <w:r>
        <w:rPr>
          <w:rFonts w:hint="eastAsia" w:ascii="Times New Roman" w:hAnsi="Times New Roman" w:eastAsia="仿宋_GB2312" w:cs="Times New Roman"/>
          <w:color w:val="auto"/>
          <w:spacing w:val="-4"/>
          <w:kern w:val="2"/>
          <w:sz w:val="32"/>
          <w:szCs w:val="24"/>
          <w:lang w:val="en-US" w:eastAsia="zh-CN" w:bidi="ar-SA"/>
        </w:rPr>
        <w:t>使用，严格执行财务管理制度，且账务处理及时，会计核算符合规范。</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2"/>
          <w:sz w:val="32"/>
          <w:szCs w:val="24"/>
          <w:lang w:val="en-US" w:eastAsia="zh-CN" w:bidi="ar-SA"/>
          <w14:textFill>
            <w14:solidFill>
              <w14:schemeClr w14:val="tx1"/>
            </w14:solidFill>
          </w14:textFill>
        </w:rPr>
        <w:t>为更好地推进我局处非工作有效开展，针对项目资金的使用和管理项目单位建立了专项资金管理责任制，财务室负责专项资金到账、审核、支付、资金预算及决算的编制和专用资金各项费用的汇总和分析；县商务经合局负责专项资金对应项目评价、验收及对相关部门的汇报、联络工作。</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黑体"/>
          <w:spacing w:val="-4"/>
          <w:sz w:val="32"/>
        </w:rPr>
      </w:pPr>
      <w:r>
        <w:rPr>
          <w:rFonts w:hint="eastAsia" w:ascii="Times New Roman" w:hAnsi="Times New Roman" w:eastAsia="黑体"/>
          <w:spacing w:val="-4"/>
          <w:sz w:val="32"/>
        </w:rPr>
        <w:t>三、项目实施及管理情况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仿宋_GB2312"/>
          <w:b/>
          <w:spacing w:val="-4"/>
          <w:sz w:val="32"/>
        </w:rPr>
      </w:pPr>
      <w:r>
        <w:rPr>
          <w:rFonts w:hint="eastAsia" w:ascii="Times New Roman" w:hAnsi="Times New Roman" w:eastAsia="楷体_GB2312"/>
          <w:b/>
          <w:spacing w:val="-4"/>
          <w:sz w:val="32"/>
        </w:rPr>
        <w:t>（一）项目组织架构及实施流程</w:t>
      </w:r>
    </w:p>
    <w:p>
      <w:pPr>
        <w:pStyle w:val="2"/>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default" w:ascii="Times New Roman" w:hAnsi="Times New Roman" w:eastAsia="仿宋_GB2312"/>
          <w:spacing w:val="-4"/>
          <w:sz w:val="32"/>
          <w:lang w:val="en-US"/>
        </w:rPr>
      </w:pPr>
      <w:r>
        <w:rPr>
          <w:rFonts w:hint="eastAsia" w:ascii="Times New Roman" w:hAnsi="Times New Roman" w:eastAsia="仿宋_GB2312"/>
          <w:b/>
          <w:bCs/>
          <w:spacing w:val="-4"/>
          <w:sz w:val="32"/>
          <w:lang w:val="en-US" w:eastAsia="zh-CN"/>
        </w:rPr>
        <w:t>一是</w:t>
      </w:r>
      <w:r>
        <w:rPr>
          <w:rFonts w:hint="eastAsia" w:ascii="Times New Roman" w:hAnsi="Times New Roman" w:eastAsia="仿宋_GB2312"/>
          <w:spacing w:val="-4"/>
          <w:sz w:val="32"/>
          <w:lang w:val="en-US" w:eastAsia="zh-CN"/>
        </w:rPr>
        <w:t>前期准备；</w:t>
      </w:r>
      <w:r>
        <w:rPr>
          <w:rFonts w:hint="eastAsia" w:ascii="Times New Roman" w:hAnsi="Times New Roman" w:eastAsia="仿宋_GB2312"/>
          <w:b/>
          <w:bCs/>
          <w:spacing w:val="-4"/>
          <w:sz w:val="32"/>
          <w:lang w:val="en-US" w:eastAsia="zh-CN"/>
        </w:rPr>
        <w:t>二是</w:t>
      </w:r>
      <w:r>
        <w:rPr>
          <w:rFonts w:hint="eastAsia" w:ascii="Times New Roman" w:hAnsi="Times New Roman" w:eastAsia="仿宋_GB2312"/>
          <w:spacing w:val="-4"/>
          <w:sz w:val="32"/>
          <w:lang w:val="en-US" w:eastAsia="zh-CN"/>
        </w:rPr>
        <w:t>组织实施；</w:t>
      </w:r>
      <w:r>
        <w:rPr>
          <w:rFonts w:hint="eastAsia" w:ascii="Times New Roman" w:hAnsi="Times New Roman" w:eastAsia="仿宋_GB2312"/>
          <w:b/>
          <w:bCs/>
          <w:spacing w:val="-4"/>
          <w:sz w:val="32"/>
          <w:lang w:val="en-US" w:eastAsia="zh-CN"/>
        </w:rPr>
        <w:t>三是</w:t>
      </w:r>
      <w:r>
        <w:rPr>
          <w:rFonts w:hint="eastAsia" w:ascii="Times New Roman" w:hAnsi="Times New Roman" w:eastAsia="仿宋_GB2312"/>
          <w:spacing w:val="-4"/>
          <w:sz w:val="32"/>
          <w:lang w:val="en-US" w:eastAsia="zh-CN"/>
        </w:rPr>
        <w:t>分析评价。</w:t>
      </w:r>
    </w:p>
    <w:p>
      <w:pPr>
        <w:keepNext w:val="0"/>
        <w:keepLines w:val="0"/>
        <w:pageBreakBefore w:val="0"/>
        <w:widowControl/>
        <w:numPr>
          <w:ilvl w:val="0"/>
          <w:numId w:val="1"/>
        </w:numPr>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b/>
          <w:spacing w:val="-4"/>
          <w:sz w:val="32"/>
        </w:rPr>
      </w:pPr>
      <w:r>
        <w:rPr>
          <w:rFonts w:hint="eastAsia" w:ascii="Times New Roman" w:hAnsi="Times New Roman" w:eastAsia="楷体_GB2312"/>
          <w:b/>
          <w:spacing w:val="-4"/>
          <w:sz w:val="32"/>
        </w:rPr>
        <w:t>项目管理情况</w:t>
      </w:r>
    </w:p>
    <w:p>
      <w:pPr>
        <w:keepNext w:val="0"/>
        <w:keepLines w:val="0"/>
        <w:pageBreakBefore w:val="0"/>
        <w:widowControl/>
        <w:numPr>
          <w:numId w:val="0"/>
        </w:numPr>
        <w:kinsoku/>
        <w:wordWrap/>
        <w:overflowPunct/>
        <w:topLinePunct w:val="0"/>
        <w:autoSpaceDE/>
        <w:autoSpaceDN/>
        <w:bidi w:val="0"/>
        <w:adjustRightInd w:val="0"/>
        <w:snapToGrid w:val="0"/>
        <w:spacing w:line="590" w:lineRule="exact"/>
        <w:ind w:right="0" w:rightChars="0" w:firstLine="624" w:firstLineChars="200"/>
        <w:jc w:val="both"/>
        <w:textAlignment w:val="baseline"/>
        <w:rPr>
          <w:rFonts w:hint="eastAsia" w:ascii="Times New Roman" w:hAnsi="Times New Roman" w:eastAsia="仿宋_GB2312"/>
          <w:color w:val="auto"/>
          <w:spacing w:val="-4"/>
          <w:sz w:val="32"/>
        </w:rPr>
      </w:pPr>
      <w:r>
        <w:rPr>
          <w:rFonts w:hint="eastAsia" w:ascii="Times New Roman" w:hAnsi="Times New Roman" w:eastAsia="仿宋_GB2312"/>
          <w:color w:val="auto"/>
          <w:spacing w:val="-4"/>
          <w:sz w:val="32"/>
          <w:lang w:val="en-US" w:eastAsia="zh-CN"/>
        </w:rPr>
        <w:t>为规范</w:t>
      </w:r>
      <w:r>
        <w:rPr>
          <w:rFonts w:hint="eastAsia" w:ascii="Times New Roman" w:hAnsi="Times New Roman" w:eastAsia="仿宋_GB2312"/>
          <w:color w:val="auto"/>
          <w:spacing w:val="-4"/>
          <w:sz w:val="32"/>
        </w:rPr>
        <w:t>大英县商务和经济合作局的</w:t>
      </w:r>
      <w:r>
        <w:rPr>
          <w:rFonts w:hint="eastAsia" w:ascii="Times New Roman" w:hAnsi="Times New Roman" w:eastAsia="仿宋_GB2312"/>
          <w:color w:val="auto"/>
          <w:spacing w:val="-4"/>
          <w:sz w:val="32"/>
          <w:lang w:eastAsia="zh-CN"/>
        </w:rPr>
        <w:t>处非工作组工作经费</w:t>
      </w:r>
      <w:r>
        <w:rPr>
          <w:rFonts w:hint="eastAsia" w:ascii="Times New Roman" w:hAnsi="Times New Roman" w:eastAsia="仿宋_GB2312"/>
          <w:color w:val="auto"/>
          <w:spacing w:val="-4"/>
          <w:sz w:val="32"/>
        </w:rPr>
        <w:t>项目</w:t>
      </w:r>
      <w:r>
        <w:rPr>
          <w:rFonts w:hint="eastAsia" w:ascii="Times New Roman" w:hAnsi="Times New Roman" w:eastAsia="仿宋_GB2312"/>
          <w:color w:val="auto"/>
          <w:spacing w:val="-4"/>
          <w:sz w:val="32"/>
          <w:lang w:val="en-US" w:eastAsia="zh-CN"/>
        </w:rPr>
        <w:t>管理，提高专项资金使用效益，根据有关文件要求，推动我局处非工作。</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Times New Roman" w:hAnsi="Times New Roman" w:eastAsia="楷体_GB2312"/>
          <w:b/>
          <w:spacing w:val="-4"/>
          <w:sz w:val="32"/>
        </w:rPr>
      </w:pPr>
      <w:r>
        <w:rPr>
          <w:rFonts w:hint="eastAsia" w:ascii="Times New Roman" w:hAnsi="Times New Roman" w:eastAsia="楷体_GB2312"/>
          <w:b/>
          <w:spacing w:val="-4"/>
          <w:sz w:val="32"/>
        </w:rPr>
        <w:t>（三）项目监管情况</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olor w:val="000000" w:themeColor="text1"/>
          <w:spacing w:val="-4"/>
          <w:sz w:val="32"/>
          <w14:textFill>
            <w14:solidFill>
              <w14:schemeClr w14:val="tx1"/>
            </w14:solidFill>
          </w14:textFill>
        </w:rPr>
      </w:pPr>
      <w:r>
        <w:rPr>
          <w:rFonts w:hint="eastAsia" w:ascii="Times New Roman" w:hAnsi="Times New Roman" w:eastAsia="仿宋_GB2312"/>
          <w:color w:val="000000" w:themeColor="text1"/>
          <w:spacing w:val="-4"/>
          <w:sz w:val="32"/>
          <w:lang w:val="en-US" w:eastAsia="zh-CN"/>
          <w14:textFill>
            <w14:solidFill>
              <w14:schemeClr w14:val="tx1"/>
            </w14:solidFill>
          </w14:textFill>
        </w:rPr>
        <w:t>根</w:t>
      </w:r>
      <w:r>
        <w:rPr>
          <w:rFonts w:hint="eastAsia" w:ascii="Times New Roman" w:hAnsi="Times New Roman" w:eastAsia="仿宋_GB2312"/>
          <w:color w:val="auto"/>
          <w:spacing w:val="-4"/>
          <w:sz w:val="32"/>
          <w:lang w:val="en-US" w:eastAsia="zh-CN"/>
        </w:rPr>
        <w:t>据</w:t>
      </w:r>
      <w:r>
        <w:rPr>
          <w:rFonts w:hint="eastAsia" w:ascii="Times New Roman" w:hAnsi="Times New Roman" w:eastAsia="仿宋_GB2312"/>
          <w:color w:val="auto"/>
          <w:spacing w:val="-4"/>
          <w:sz w:val="32"/>
          <w:lang w:eastAsia="zh-CN"/>
        </w:rPr>
        <w:t>处非工作组工作经费</w:t>
      </w:r>
      <w:r>
        <w:rPr>
          <w:rFonts w:hint="eastAsia" w:ascii="Times New Roman" w:hAnsi="Times New Roman" w:eastAsia="仿宋_GB2312"/>
          <w:color w:val="auto"/>
          <w:spacing w:val="-4"/>
          <w:sz w:val="32"/>
        </w:rPr>
        <w:t>项目</w:t>
      </w:r>
      <w:r>
        <w:rPr>
          <w:rFonts w:hint="eastAsia" w:ascii="Times New Roman" w:hAnsi="Times New Roman" w:eastAsia="仿宋_GB2312"/>
          <w:color w:val="000000" w:themeColor="text1"/>
          <w:spacing w:val="-4"/>
          <w:sz w:val="32"/>
          <w:lang w:val="en-US" w:eastAsia="zh-CN"/>
          <w14:textFill>
            <w14:solidFill>
              <w14:schemeClr w14:val="tx1"/>
            </w14:solidFill>
          </w14:textFill>
        </w:rPr>
        <w:t>推进情况拨付资金，县财政局对专项资金使用方向进行监督，并对项目资金开展绩效评价。</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仿宋_GB2312"/>
          <w:color w:val="000000" w:themeColor="text1"/>
          <w:spacing w:val="-4"/>
          <w:sz w:val="32"/>
          <w14:textFill>
            <w14:solidFill>
              <w14:schemeClr w14:val="tx1"/>
            </w14:solidFill>
          </w14:textFill>
        </w:rPr>
      </w:pPr>
      <w:r>
        <w:rPr>
          <w:rFonts w:hint="eastAsia" w:ascii="Times New Roman" w:hAnsi="Times New Roman" w:eastAsia="仿宋_GB2312"/>
          <w:color w:val="000000" w:themeColor="text1"/>
          <w:spacing w:val="-4"/>
          <w:sz w:val="32"/>
          <w:lang w:val="en-US" w:eastAsia="zh-CN"/>
          <w14:textFill>
            <w14:solidFill>
              <w14:schemeClr w14:val="tx1"/>
            </w14:solidFill>
          </w14:textFill>
        </w:rPr>
        <w:t>县商务经合局财务管理制度健全，为保障项目资金安全，确保资金专款专用，我局从资金申请、资金使用、会计核算三个环节加强资金管理。在项目资金申请环节，严格按照国库集中支付流程向县财政局申请财政资金；在资金使用环节，严格遵守县本级财政资金支持审批管理办法规定，严格按照我局资金财务审批流程办理款项支付。在会计核算环节，对本项目资金实际单独核算，确保专款专用。通过上述三个环节的管理，极力避免挪用、挤占、截留项目资金的现象，保证财政资金安全有效使用。</w:t>
      </w:r>
    </w:p>
    <w:p>
      <w:pPr>
        <w:keepNext w:val="0"/>
        <w:keepLines w:val="0"/>
        <w:pageBreakBefore w:val="0"/>
        <w:widowControl/>
        <w:tabs>
          <w:tab w:val="left" w:pos="227"/>
        </w:tabs>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Times New Roman" w:hAnsi="Times New Roman" w:eastAsia="黑体"/>
          <w:spacing w:val="-4"/>
          <w:sz w:val="32"/>
        </w:rPr>
      </w:pPr>
      <w:r>
        <w:rPr>
          <w:rFonts w:hint="eastAsia" w:ascii="Times New Roman" w:hAnsi="Times New Roman" w:eastAsia="黑体"/>
          <w:spacing w:val="-4"/>
          <w:sz w:val="32"/>
        </w:rPr>
        <w:t>四、项目绩效情况</w:t>
      </w:r>
    </w:p>
    <w:p>
      <w:pPr>
        <w:keepNext w:val="0"/>
        <w:keepLines w:val="0"/>
        <w:pageBreakBefore w:val="0"/>
        <w:widowControl/>
        <w:kinsoku/>
        <w:wordWrap/>
        <w:overflowPunct/>
        <w:topLinePunct w:val="0"/>
        <w:autoSpaceDE/>
        <w:autoSpaceDN/>
        <w:bidi w:val="0"/>
        <w:adjustRightInd w:val="0"/>
        <w:snapToGrid w:val="0"/>
        <w:spacing w:after="157" w:afterLines="50" w:line="590" w:lineRule="exact"/>
        <w:ind w:left="0" w:right="0" w:firstLine="627" w:firstLineChars="200"/>
        <w:jc w:val="both"/>
        <w:textAlignment w:val="baseline"/>
        <w:rPr>
          <w:rFonts w:hint="eastAsia" w:ascii="Times New Roman" w:hAnsi="Times New Roman"/>
          <w:color w:val="auto"/>
          <w:spacing w:val="-4"/>
          <w:sz w:val="32"/>
          <w:szCs w:val="32"/>
        </w:rPr>
      </w:pPr>
      <w:r>
        <w:rPr>
          <w:rFonts w:hint="eastAsia" w:ascii="Times New Roman" w:hAnsi="Times New Roman" w:eastAsia="楷体_GB2312"/>
          <w:b/>
          <w:color w:val="auto"/>
          <w:spacing w:val="-4"/>
          <w:sz w:val="32"/>
          <w:szCs w:val="32"/>
        </w:rPr>
        <w:t>（一）项目完成情况</w:t>
      </w:r>
    </w:p>
    <w:tbl>
      <w:tblPr>
        <w:tblStyle w:val="13"/>
        <w:tblW w:w="88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
        <w:gridCol w:w="1209"/>
        <w:gridCol w:w="1497"/>
        <w:gridCol w:w="2010"/>
        <w:gridCol w:w="1119"/>
        <w:gridCol w:w="2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74"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both"/>
              <w:textAlignment w:val="center"/>
              <w:rPr>
                <w:rFonts w:hint="eastAsia" w:ascii="Times New Roman" w:hAnsi="Times New Roman" w:eastAsia="仿宋_GB2312"/>
                <w:color w:val="auto"/>
                <w:spacing w:val="-4"/>
                <w:sz w:val="22"/>
                <w:szCs w:val="22"/>
              </w:rPr>
            </w:pPr>
            <w:r>
              <w:rPr>
                <w:rFonts w:hint="eastAsia" w:ascii="Times New Roman" w:hAnsi="Times New Roman" w:eastAsia="黑体"/>
                <w:color w:val="auto"/>
                <w:spacing w:val="-4"/>
                <w:kern w:val="0"/>
                <w:sz w:val="24"/>
                <w:szCs w:val="22"/>
              </w:rPr>
              <w:t>绩效指标</w:t>
            </w:r>
          </w:p>
        </w:tc>
        <w:tc>
          <w:tcPr>
            <w:tcW w:w="120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一级指标</w:t>
            </w:r>
          </w:p>
        </w:tc>
        <w:tc>
          <w:tcPr>
            <w:tcW w:w="149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二级指标</w:t>
            </w:r>
          </w:p>
        </w:tc>
        <w:tc>
          <w:tcPr>
            <w:tcW w:w="201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三级指标</w:t>
            </w:r>
          </w:p>
        </w:tc>
        <w:tc>
          <w:tcPr>
            <w:tcW w:w="111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指标值</w:t>
            </w:r>
          </w:p>
        </w:tc>
        <w:tc>
          <w:tcPr>
            <w:tcW w:w="20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进度计划完成率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2"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24" w:firstLineChars="200"/>
              <w:jc w:val="both"/>
              <w:rPr>
                <w:rFonts w:hint="eastAsia" w:ascii="Times New Roman" w:hAnsi="Times New Roman" w:eastAsia="仿宋_GB2312"/>
                <w:color w:val="auto"/>
                <w:spacing w:val="-4"/>
                <w:sz w:val="22"/>
                <w:szCs w:val="22"/>
              </w:rPr>
            </w:pPr>
          </w:p>
        </w:tc>
        <w:tc>
          <w:tcPr>
            <w:tcW w:w="1209"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项目完成</w:t>
            </w:r>
          </w:p>
        </w:tc>
        <w:tc>
          <w:tcPr>
            <w:tcW w:w="149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数量指标</w:t>
            </w:r>
          </w:p>
        </w:tc>
        <w:tc>
          <w:tcPr>
            <w:tcW w:w="201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服务大英县鼎诚投资有限公司1家</w:t>
            </w:r>
          </w:p>
        </w:tc>
        <w:tc>
          <w:tcPr>
            <w:tcW w:w="111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=１</w:t>
            </w:r>
          </w:p>
        </w:tc>
        <w:tc>
          <w:tcPr>
            <w:tcW w:w="20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1"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24" w:firstLineChars="200"/>
              <w:jc w:val="both"/>
              <w:rPr>
                <w:rFonts w:hint="eastAsia" w:ascii="Times New Roman" w:hAnsi="Times New Roman" w:eastAsia="仿宋_GB2312"/>
                <w:color w:val="auto"/>
                <w:spacing w:val="-4"/>
                <w:sz w:val="22"/>
                <w:szCs w:val="22"/>
              </w:rPr>
            </w:pPr>
          </w:p>
        </w:tc>
        <w:tc>
          <w:tcPr>
            <w:tcW w:w="120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49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质量指标</w:t>
            </w:r>
          </w:p>
        </w:tc>
        <w:tc>
          <w:tcPr>
            <w:tcW w:w="201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lang w:val="en-US" w:eastAsia="zh-CN"/>
              </w:rPr>
            </w:pPr>
            <w:r>
              <w:rPr>
                <w:rFonts w:hint="default" w:ascii="Times New Roman" w:hAnsi="Times New Roman" w:eastAsia="仿宋_GB2312"/>
                <w:color w:val="auto"/>
                <w:spacing w:val="-4"/>
                <w:kern w:val="0"/>
                <w:sz w:val="24"/>
                <w:szCs w:val="22"/>
                <w:lang w:val="en-US" w:eastAsia="zh-CN"/>
              </w:rPr>
              <w:t>符合相关规定达标率</w:t>
            </w:r>
          </w:p>
        </w:tc>
        <w:tc>
          <w:tcPr>
            <w:tcW w:w="111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w:t>
            </w:r>
            <w:r>
              <w:rPr>
                <w:rFonts w:hint="default" w:ascii="Times New Roman" w:hAnsi="Times New Roman" w:eastAsia="仿宋_GB2312"/>
                <w:color w:val="auto"/>
                <w:spacing w:val="-4"/>
                <w:kern w:val="0"/>
                <w:sz w:val="24"/>
                <w:szCs w:val="22"/>
                <w:lang w:val="en-US" w:eastAsia="zh-CN"/>
              </w:rPr>
              <w:t>100</w:t>
            </w:r>
            <w:r>
              <w:rPr>
                <w:rFonts w:hint="eastAsia" w:ascii="Times New Roman" w:hAnsi="Times New Roman" w:eastAsia="仿宋_GB2312"/>
                <w:color w:val="auto"/>
                <w:spacing w:val="-4"/>
                <w:kern w:val="0"/>
                <w:sz w:val="24"/>
                <w:szCs w:val="22"/>
                <w:lang w:val="en-US" w:eastAsia="zh-CN"/>
              </w:rPr>
              <w:t>％</w:t>
            </w:r>
          </w:p>
        </w:tc>
        <w:tc>
          <w:tcPr>
            <w:tcW w:w="20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24" w:firstLineChars="200"/>
              <w:jc w:val="both"/>
              <w:rPr>
                <w:rFonts w:hint="eastAsia" w:ascii="Times New Roman" w:hAnsi="Times New Roman" w:eastAsia="仿宋_GB2312"/>
                <w:color w:val="auto"/>
                <w:spacing w:val="-4"/>
                <w:sz w:val="22"/>
                <w:szCs w:val="22"/>
              </w:rPr>
            </w:pPr>
          </w:p>
        </w:tc>
        <w:tc>
          <w:tcPr>
            <w:tcW w:w="120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49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时效指标</w:t>
            </w:r>
          </w:p>
        </w:tc>
        <w:tc>
          <w:tcPr>
            <w:tcW w:w="201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2022年1-12月完成</w:t>
            </w:r>
          </w:p>
        </w:tc>
        <w:tc>
          <w:tcPr>
            <w:tcW w:w="111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eastAsia="zh-CN"/>
              </w:rPr>
              <w:t>年内完成</w:t>
            </w:r>
          </w:p>
        </w:tc>
        <w:tc>
          <w:tcPr>
            <w:tcW w:w="20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1"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24" w:firstLineChars="200"/>
              <w:jc w:val="both"/>
              <w:rPr>
                <w:rFonts w:hint="eastAsia" w:ascii="Times New Roman" w:hAnsi="Times New Roman" w:eastAsia="仿宋_GB2312"/>
                <w:color w:val="auto"/>
                <w:spacing w:val="-4"/>
                <w:sz w:val="22"/>
                <w:szCs w:val="22"/>
              </w:rPr>
            </w:pPr>
          </w:p>
        </w:tc>
        <w:tc>
          <w:tcPr>
            <w:tcW w:w="120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497"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default" w:ascii="Times New Roman" w:hAnsi="Times New Roman" w:eastAsia="仿宋_GB2312"/>
                <w:color w:val="auto"/>
                <w:spacing w:val="-4"/>
                <w:kern w:val="0"/>
                <w:sz w:val="24"/>
                <w:szCs w:val="22"/>
                <w:lang w:val="en-US" w:eastAsia="zh-CN"/>
              </w:rPr>
              <w:t>成本指标</w:t>
            </w:r>
          </w:p>
        </w:tc>
        <w:tc>
          <w:tcPr>
            <w:tcW w:w="201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w:t>
            </w:r>
            <w:r>
              <w:rPr>
                <w:rFonts w:hint="default" w:ascii="Times New Roman" w:hAnsi="Times New Roman" w:eastAsia="仿宋_GB2312"/>
                <w:color w:val="auto"/>
                <w:spacing w:val="-4"/>
                <w:kern w:val="0"/>
                <w:sz w:val="24"/>
                <w:szCs w:val="22"/>
                <w:lang w:val="en-US" w:eastAsia="zh-CN"/>
              </w:rPr>
              <w:t>1</w:t>
            </w:r>
            <w:r>
              <w:rPr>
                <w:rFonts w:hint="eastAsia" w:ascii="Times New Roman" w:hAnsi="Times New Roman" w:eastAsia="仿宋_GB2312"/>
                <w:color w:val="auto"/>
                <w:spacing w:val="-4"/>
                <w:kern w:val="0"/>
                <w:sz w:val="24"/>
                <w:szCs w:val="22"/>
                <w:lang w:val="en-US" w:eastAsia="zh-CN"/>
              </w:rPr>
              <w:t>万元</w:t>
            </w:r>
          </w:p>
        </w:tc>
        <w:tc>
          <w:tcPr>
            <w:tcW w:w="111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w:t>
            </w:r>
            <w:r>
              <w:rPr>
                <w:rFonts w:hint="default" w:ascii="Times New Roman" w:hAnsi="Times New Roman" w:eastAsia="仿宋_GB2312"/>
                <w:color w:val="auto"/>
                <w:spacing w:val="-4"/>
                <w:kern w:val="0"/>
                <w:sz w:val="24"/>
                <w:szCs w:val="22"/>
                <w:lang w:val="en-US" w:eastAsia="zh-CN"/>
              </w:rPr>
              <w:t>1</w:t>
            </w:r>
            <w:r>
              <w:rPr>
                <w:rFonts w:hint="eastAsia" w:ascii="Times New Roman" w:hAnsi="Times New Roman" w:eastAsia="仿宋_GB2312"/>
                <w:color w:val="auto"/>
                <w:spacing w:val="-4"/>
                <w:kern w:val="0"/>
                <w:sz w:val="24"/>
                <w:szCs w:val="22"/>
                <w:lang w:val="en-US" w:eastAsia="zh-CN"/>
              </w:rPr>
              <w:t>万元</w:t>
            </w:r>
          </w:p>
        </w:tc>
        <w:tc>
          <w:tcPr>
            <w:tcW w:w="20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default" w:ascii="Times New Roman" w:hAnsi="Times New Roman" w:eastAsia="仿宋_GB2312"/>
                <w:color w:val="auto"/>
                <w:spacing w:val="-4"/>
                <w:kern w:val="0"/>
                <w:sz w:val="24"/>
                <w:szCs w:val="22"/>
                <w:lang w:val="en-US"/>
              </w:rPr>
            </w:pPr>
            <w:r>
              <w:rPr>
                <w:rFonts w:hint="eastAsia" w:ascii="Times New Roman" w:hAnsi="Times New Roman" w:eastAsia="仿宋_GB2312"/>
                <w:color w:val="auto"/>
                <w:spacing w:val="-4"/>
                <w:kern w:val="0"/>
                <w:sz w:val="24"/>
                <w:szCs w:val="22"/>
                <w:lang w:val="en-US" w:eastAsia="zh-CN"/>
              </w:rPr>
              <w:t>3.45%</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590" w:lineRule="exact"/>
        <w:ind w:left="0" w:leftChars="0" w:right="0" w:rightChars="0" w:firstLine="627" w:firstLineChars="200"/>
        <w:jc w:val="both"/>
        <w:textAlignment w:val="auto"/>
        <w:outlineLvl w:val="9"/>
        <w:rPr>
          <w:rFonts w:hint="eastAsia" w:ascii="Times New Roman" w:hAnsi="Times New Roman"/>
          <w:color w:val="auto"/>
          <w:spacing w:val="-4"/>
          <w:sz w:val="32"/>
          <w:szCs w:val="32"/>
        </w:rPr>
      </w:pPr>
      <w:r>
        <w:rPr>
          <w:rFonts w:hint="eastAsia" w:ascii="Times New Roman" w:hAnsi="Times New Roman" w:eastAsia="楷体_GB2312"/>
          <w:b/>
          <w:color w:val="auto"/>
          <w:spacing w:val="-4"/>
          <w:sz w:val="32"/>
          <w:szCs w:val="32"/>
        </w:rPr>
        <w:t>（二）项目效益情况</w:t>
      </w:r>
    </w:p>
    <w:tbl>
      <w:tblPr>
        <w:tblStyle w:val="13"/>
        <w:tblW w:w="90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1350"/>
        <w:gridCol w:w="2012"/>
        <w:gridCol w:w="1971"/>
        <w:gridCol w:w="1191"/>
        <w:gridCol w:w="18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700"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仿宋_GB2312"/>
                <w:color w:val="auto"/>
                <w:spacing w:val="-4"/>
                <w:sz w:val="24"/>
                <w:szCs w:val="22"/>
              </w:rPr>
            </w:pPr>
            <w:r>
              <w:rPr>
                <w:rFonts w:hint="eastAsia" w:ascii="Times New Roman" w:hAnsi="Times New Roman" w:eastAsia="黑体"/>
                <w:color w:val="auto"/>
                <w:spacing w:val="-4"/>
                <w:kern w:val="0"/>
                <w:sz w:val="24"/>
                <w:szCs w:val="22"/>
              </w:rPr>
              <w:t>绩效指标</w:t>
            </w:r>
          </w:p>
        </w:tc>
        <w:tc>
          <w:tcPr>
            <w:tcW w:w="135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一级指标</w:t>
            </w:r>
          </w:p>
        </w:tc>
        <w:tc>
          <w:tcPr>
            <w:tcW w:w="201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二级指标</w:t>
            </w:r>
          </w:p>
        </w:tc>
        <w:tc>
          <w:tcPr>
            <w:tcW w:w="197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三级指标</w:t>
            </w:r>
          </w:p>
        </w:tc>
        <w:tc>
          <w:tcPr>
            <w:tcW w:w="119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sz w:val="24"/>
                <w:szCs w:val="22"/>
              </w:rPr>
            </w:pPr>
            <w:r>
              <w:rPr>
                <w:rFonts w:hint="eastAsia" w:ascii="Times New Roman" w:hAnsi="Times New Roman" w:eastAsia="黑体"/>
                <w:color w:val="auto"/>
                <w:spacing w:val="-4"/>
                <w:kern w:val="0"/>
                <w:sz w:val="24"/>
                <w:szCs w:val="22"/>
              </w:rPr>
              <w:t>指标值</w:t>
            </w:r>
          </w:p>
        </w:tc>
        <w:tc>
          <w:tcPr>
            <w:tcW w:w="182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right="0"/>
              <w:jc w:val="center"/>
              <w:textAlignment w:val="center"/>
              <w:rPr>
                <w:rFonts w:hint="eastAsia" w:ascii="Times New Roman" w:hAnsi="Times New Roman" w:eastAsia="黑体"/>
                <w:color w:val="auto"/>
                <w:spacing w:val="-4"/>
                <w:kern w:val="0"/>
                <w:sz w:val="24"/>
                <w:szCs w:val="22"/>
              </w:rPr>
            </w:pPr>
            <w:r>
              <w:rPr>
                <w:rFonts w:hint="eastAsia" w:ascii="Times New Roman" w:hAnsi="Times New Roman" w:eastAsia="黑体"/>
                <w:color w:val="auto"/>
                <w:spacing w:val="-4"/>
                <w:kern w:val="0"/>
                <w:sz w:val="24"/>
                <w:szCs w:val="22"/>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350" w:type="dxa"/>
            <w:vMerge w:val="restart"/>
            <w:tcBorders>
              <w:top w:val="single" w:color="000000" w:sz="4" w:space="0"/>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项目效益</w:t>
            </w:r>
          </w:p>
        </w:tc>
        <w:tc>
          <w:tcPr>
            <w:tcW w:w="201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经济效益指标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19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82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350" w:type="dxa"/>
            <w:vMerge w:val="continue"/>
            <w:tcBorders>
              <w:top w:val="nil"/>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firstLine="464" w:firstLineChars="200"/>
              <w:jc w:val="both"/>
              <w:textAlignment w:val="center"/>
              <w:rPr>
                <w:rFonts w:hint="eastAsia" w:ascii="Times New Roman" w:hAnsi="Times New Roman" w:eastAsia="仿宋_GB2312"/>
                <w:color w:val="auto"/>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社会效益指标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社会稳定成效率</w:t>
            </w:r>
          </w:p>
        </w:tc>
        <w:tc>
          <w:tcPr>
            <w:tcW w:w="119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=100%</w:t>
            </w:r>
          </w:p>
        </w:tc>
        <w:tc>
          <w:tcPr>
            <w:tcW w:w="182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350" w:type="dxa"/>
            <w:vMerge w:val="continue"/>
            <w:tcBorders>
              <w:top w:val="nil"/>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firstLine="464" w:firstLineChars="200"/>
              <w:jc w:val="both"/>
              <w:textAlignment w:val="center"/>
              <w:rPr>
                <w:rFonts w:hint="eastAsia" w:ascii="Times New Roman" w:hAnsi="Times New Roman" w:eastAsia="仿宋_GB2312"/>
                <w:color w:val="auto"/>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生态效益指标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19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82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350" w:type="dxa"/>
            <w:vMerge w:val="continue"/>
            <w:tcBorders>
              <w:top w:val="nil"/>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firstLine="464" w:firstLineChars="200"/>
              <w:jc w:val="both"/>
              <w:textAlignment w:val="center"/>
              <w:rPr>
                <w:rFonts w:hint="eastAsia" w:ascii="Times New Roman" w:hAnsi="Times New Roman" w:eastAsia="仿宋_GB2312"/>
                <w:color w:val="auto"/>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可持续效益指标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19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c>
          <w:tcPr>
            <w:tcW w:w="182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firstLine="464" w:firstLineChars="200"/>
              <w:jc w:val="both"/>
              <w:textAlignment w:val="center"/>
              <w:rPr>
                <w:rFonts w:hint="eastAsia" w:ascii="Times New Roman" w:hAnsi="Times New Roman" w:eastAsia="仿宋_GB2312"/>
                <w:color w:val="auto"/>
                <w:spacing w:val="-4"/>
                <w:kern w:val="0"/>
                <w:sz w:val="24"/>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590" w:lineRule="exact"/>
              <w:ind w:left="0" w:right="0" w:firstLine="464" w:firstLineChars="200"/>
              <w:jc w:val="both"/>
              <w:rPr>
                <w:rFonts w:hint="eastAsia" w:ascii="Times New Roman" w:hAnsi="Times New Roman" w:eastAsia="仿宋_GB2312"/>
                <w:color w:val="auto"/>
                <w:spacing w:val="-4"/>
                <w:sz w:val="24"/>
                <w:szCs w:val="22"/>
              </w:rPr>
            </w:pPr>
          </w:p>
        </w:tc>
        <w:tc>
          <w:tcPr>
            <w:tcW w:w="1350" w:type="dxa"/>
            <w:vMerge w:val="continue"/>
            <w:tcBorders>
              <w:top w:val="nil"/>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firstLine="464" w:firstLineChars="200"/>
              <w:jc w:val="both"/>
              <w:textAlignment w:val="center"/>
              <w:rPr>
                <w:rFonts w:hint="eastAsia" w:ascii="Times New Roman" w:hAnsi="Times New Roman" w:eastAsia="仿宋_GB2312"/>
                <w:color w:val="auto"/>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服务对象满意度指标</w:t>
            </w:r>
          </w:p>
        </w:tc>
        <w:tc>
          <w:tcPr>
            <w:tcW w:w="197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使</w:t>
            </w:r>
            <w:r>
              <w:rPr>
                <w:rFonts w:hint="eastAsia" w:ascii="Times New Roman" w:hAnsi="Times New Roman" w:eastAsia="仿宋_GB2312"/>
                <w:color w:val="auto"/>
                <w:spacing w:val="-4"/>
                <w:kern w:val="0"/>
                <w:sz w:val="24"/>
                <w:szCs w:val="22"/>
                <w:lang w:eastAsia="zh-CN"/>
              </w:rPr>
              <w:t>处非</w:t>
            </w:r>
            <w:r>
              <w:rPr>
                <w:rFonts w:hint="eastAsia" w:ascii="Times New Roman" w:hAnsi="Times New Roman" w:eastAsia="仿宋_GB2312"/>
                <w:color w:val="auto"/>
                <w:spacing w:val="-4"/>
                <w:kern w:val="0"/>
                <w:sz w:val="24"/>
                <w:szCs w:val="22"/>
                <w:lang w:val="en-US" w:eastAsia="zh-CN"/>
              </w:rPr>
              <w:t>工作达到满意指标值</w:t>
            </w:r>
          </w:p>
        </w:tc>
        <w:tc>
          <w:tcPr>
            <w:tcW w:w="119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lang w:val="en-US" w:eastAsia="zh-CN"/>
              </w:rPr>
              <w:t>≥95%</w:t>
            </w:r>
          </w:p>
        </w:tc>
        <w:tc>
          <w:tcPr>
            <w:tcW w:w="182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right="0" w:rightChars="0"/>
              <w:jc w:val="both"/>
              <w:textAlignment w:val="center"/>
              <w:rPr>
                <w:rFonts w:hint="eastAsia" w:ascii="Times New Roman" w:hAnsi="Times New Roman" w:eastAsia="仿宋_GB2312"/>
                <w:color w:val="auto"/>
                <w:spacing w:val="-4"/>
                <w:kern w:val="0"/>
                <w:sz w:val="24"/>
                <w:szCs w:val="22"/>
              </w:rPr>
            </w:pPr>
            <w:r>
              <w:rPr>
                <w:rFonts w:hint="eastAsia" w:ascii="Times New Roman" w:hAnsi="Times New Roman" w:eastAsia="仿宋_GB2312"/>
                <w:color w:val="auto"/>
                <w:spacing w:val="-4"/>
                <w:kern w:val="0"/>
                <w:sz w:val="24"/>
                <w:szCs w:val="22"/>
              </w:rPr>
              <w:t>100%</w:t>
            </w:r>
          </w:p>
        </w:tc>
      </w:tr>
    </w:tbl>
    <w:p>
      <w:pPr>
        <w:keepNext w:val="0"/>
        <w:keepLines w:val="0"/>
        <w:pageBreakBefore w:val="0"/>
        <w:widowControl w:val="0"/>
        <w:kinsoku/>
        <w:wordWrap/>
        <w:overflowPunct/>
        <w:topLinePunct w:val="0"/>
        <w:autoSpaceDE/>
        <w:autoSpaceDN/>
        <w:bidi w:val="0"/>
        <w:adjustRightInd w:val="0"/>
        <w:snapToGrid w:val="0"/>
        <w:spacing w:before="157" w:beforeLines="50" w:line="550" w:lineRule="exact"/>
        <w:ind w:left="0" w:right="0" w:firstLine="624" w:firstLineChars="200"/>
        <w:jc w:val="both"/>
        <w:textAlignment w:val="baseline"/>
        <w:rPr>
          <w:rFonts w:hint="eastAsia" w:ascii="Times New Roman" w:hAnsi="Times New Roman" w:eastAsia="黑体"/>
          <w:color w:val="auto"/>
          <w:spacing w:val="-4"/>
          <w:sz w:val="32"/>
        </w:rPr>
      </w:pPr>
      <w:r>
        <w:rPr>
          <w:rFonts w:hint="eastAsia" w:ascii="Times New Roman" w:hAnsi="Times New Roman" w:eastAsia="黑体"/>
          <w:color w:val="auto"/>
          <w:spacing w:val="-4"/>
          <w:sz w:val="32"/>
        </w:rPr>
        <w:t>五、评价结论及建议</w:t>
      </w:r>
    </w:p>
    <w:p>
      <w:pPr>
        <w:keepNext w:val="0"/>
        <w:keepLines w:val="0"/>
        <w:pageBreakBefore w:val="0"/>
        <w:widowControl w:val="0"/>
        <w:kinsoku/>
        <w:wordWrap/>
        <w:overflowPunct/>
        <w:topLinePunct w:val="0"/>
        <w:autoSpaceDE/>
        <w:autoSpaceDN/>
        <w:bidi w:val="0"/>
        <w:adjustRightInd w:val="0"/>
        <w:snapToGrid w:val="0"/>
        <w:spacing w:line="550" w:lineRule="exact"/>
        <w:ind w:left="0" w:right="0" w:firstLine="627" w:firstLineChars="200"/>
        <w:jc w:val="both"/>
        <w:rPr>
          <w:rFonts w:hint="eastAsia" w:ascii="Times New Roman" w:hAnsi="Times New Roman" w:eastAsia="仿宋_GB2312"/>
          <w:b/>
          <w:color w:val="auto"/>
          <w:spacing w:val="-4"/>
          <w:sz w:val="32"/>
        </w:rPr>
      </w:pPr>
      <w:r>
        <w:rPr>
          <w:rFonts w:hint="eastAsia" w:ascii="Times New Roman" w:hAnsi="Times New Roman" w:eastAsia="楷体_GB2312"/>
          <w:b/>
          <w:color w:val="auto"/>
          <w:spacing w:val="-4"/>
          <w:sz w:val="32"/>
        </w:rPr>
        <w:t>（一）评价结论</w:t>
      </w:r>
    </w:p>
    <w:p>
      <w:pPr>
        <w:pStyle w:val="2"/>
        <w:keepNext w:val="0"/>
        <w:keepLines w:val="0"/>
        <w:pageBreakBefore w:val="0"/>
        <w:widowControl w:val="0"/>
        <w:kinsoku/>
        <w:wordWrap/>
        <w:overflowPunct/>
        <w:topLinePunct w:val="0"/>
        <w:autoSpaceDE/>
        <w:autoSpaceDN/>
        <w:bidi w:val="0"/>
        <w:adjustRightInd w:val="0"/>
        <w:snapToGrid w:val="0"/>
        <w:spacing w:line="550" w:lineRule="exact"/>
        <w:ind w:left="0" w:right="0" w:firstLine="624" w:firstLineChars="200"/>
        <w:jc w:val="both"/>
        <w:textAlignment w:val="baseline"/>
        <w:rPr>
          <w:rFonts w:hint="eastAsia" w:ascii="Times New Roman" w:hAnsi="Times New Roman" w:eastAsia="仿宋_GB2312"/>
          <w:spacing w:val="-4"/>
          <w:sz w:val="32"/>
        </w:rPr>
      </w:pPr>
      <w:r>
        <w:rPr>
          <w:rFonts w:hint="eastAsia" w:ascii="Times New Roman" w:hAnsi="Times New Roman" w:eastAsia="仿宋_GB2312"/>
          <w:spacing w:val="-4"/>
          <w:sz w:val="32"/>
          <w:lang w:val="en-US" w:eastAsia="zh-CN"/>
        </w:rPr>
        <w:t>此次绩效评价结果为“合格”等次，建议在以后年度继续向上争取专项资金，促进我局处非工作有效推进</w:t>
      </w:r>
      <w:r>
        <w:rPr>
          <w:rFonts w:hint="eastAsia" w:ascii="Times New Roman" w:hAnsi="Times New Roman" w:eastAsia="仿宋_GB2312"/>
          <w:spacing w:val="-4"/>
          <w:sz w:val="32"/>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left="0" w:right="0" w:firstLine="627" w:firstLineChars="200"/>
        <w:jc w:val="both"/>
        <w:rPr>
          <w:rFonts w:hint="default" w:ascii="Times New Roman" w:hAnsi="Times New Roman" w:eastAsia="宋体"/>
          <w:spacing w:val="-4"/>
          <w:sz w:val="32"/>
          <w:szCs w:val="32"/>
          <w:lang w:val="en-US" w:eastAsia="zh-CN"/>
        </w:rPr>
      </w:pPr>
      <w:r>
        <w:rPr>
          <w:rFonts w:hint="eastAsia" w:ascii="Times New Roman" w:hAnsi="Times New Roman" w:eastAsia="楷体_GB2312"/>
          <w:b/>
          <w:spacing w:val="-4"/>
          <w:sz w:val="32"/>
          <w:szCs w:val="32"/>
          <w:lang w:eastAsia="zh-CN"/>
        </w:rPr>
        <w:t>（</w:t>
      </w:r>
      <w:r>
        <w:rPr>
          <w:rFonts w:hint="eastAsia" w:ascii="Times New Roman" w:hAnsi="Times New Roman" w:eastAsia="楷体_GB2312"/>
          <w:b/>
          <w:spacing w:val="-4"/>
          <w:sz w:val="32"/>
          <w:szCs w:val="32"/>
          <w:lang w:val="en-US" w:eastAsia="zh-CN"/>
        </w:rPr>
        <w:t>二</w:t>
      </w:r>
      <w:r>
        <w:rPr>
          <w:rFonts w:hint="eastAsia" w:ascii="Times New Roman" w:hAnsi="Times New Roman" w:eastAsia="楷体_GB2312"/>
          <w:b/>
          <w:spacing w:val="-4"/>
          <w:sz w:val="32"/>
          <w:szCs w:val="32"/>
          <w:lang w:eastAsia="zh-CN"/>
        </w:rPr>
        <w:t>）</w:t>
      </w:r>
      <w:r>
        <w:rPr>
          <w:rFonts w:hint="eastAsia" w:ascii="Times New Roman" w:hAnsi="Times New Roman" w:eastAsia="楷体_GB2312"/>
          <w:b/>
          <w:spacing w:val="-4"/>
          <w:sz w:val="32"/>
          <w:szCs w:val="32"/>
        </w:rPr>
        <w:t>存在的问题</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50" w:lineRule="exact"/>
        <w:ind w:left="0" w:right="0" w:firstLine="627" w:firstLineChars="200"/>
        <w:jc w:val="both"/>
        <w:rPr>
          <w:rFonts w:hint="default" w:ascii="Times New Roman" w:hAnsi="Times New Roman" w:eastAsia="仿宋_GB2312" w:cstheme="minorBidi"/>
          <w:spacing w:val="-4"/>
          <w:kern w:val="2"/>
          <w:sz w:val="32"/>
          <w:szCs w:val="21"/>
          <w:lang w:val="en-US" w:eastAsia="zh-CN" w:bidi="ar-SA"/>
        </w:rPr>
      </w:pPr>
      <w:r>
        <w:rPr>
          <w:rFonts w:hint="eastAsia" w:ascii="Times New Roman" w:hAnsi="Times New Roman" w:eastAsia="仿宋_GB2312" w:cs="仿宋_GB2312"/>
          <w:b/>
          <w:bCs/>
          <w:spacing w:val="-4"/>
          <w:sz w:val="32"/>
          <w:szCs w:val="32"/>
          <w:lang w:val="en-US" w:eastAsia="zh-CN"/>
        </w:rPr>
        <w:t>一是涉及异地经济纠纷，有效处置较为困难。</w:t>
      </w:r>
      <w:r>
        <w:rPr>
          <w:rFonts w:hint="eastAsia" w:ascii="Times New Roman" w:hAnsi="Times New Roman" w:eastAsia="仿宋_GB2312" w:cs="仿宋_GB2312"/>
          <w:spacing w:val="-4"/>
          <w:sz w:val="32"/>
          <w:szCs w:val="32"/>
          <w:lang w:val="en-US" w:eastAsia="zh-CN"/>
        </w:rPr>
        <w:t>由于我局涉及的处非工作鼎城投资有限公司法人周成与乐至县刘玲存在债务关系，我县对刘玲的情况缺乏有效监管，沟通了解不畅。</w:t>
      </w:r>
      <w:r>
        <w:rPr>
          <w:rFonts w:hint="eastAsia" w:ascii="Times New Roman" w:hAnsi="Times New Roman" w:eastAsia="仿宋_GB2312" w:cs="仿宋_GB2312"/>
          <w:b/>
          <w:bCs/>
          <w:spacing w:val="-4"/>
          <w:sz w:val="32"/>
          <w:szCs w:val="32"/>
          <w:lang w:val="en-US" w:eastAsia="zh-CN"/>
        </w:rPr>
        <w:t>二是涉及群体较大，群众稳控工作较为困难。</w:t>
      </w:r>
      <w:r>
        <w:rPr>
          <w:rFonts w:hint="eastAsia" w:ascii="Times New Roman" w:hAnsi="Times New Roman" w:eastAsia="仿宋_GB2312" w:cs="仿宋_GB2312"/>
          <w:spacing w:val="-4"/>
          <w:sz w:val="32"/>
          <w:szCs w:val="32"/>
        </w:rPr>
        <w:t>目前</w:t>
      </w:r>
      <w:r>
        <w:rPr>
          <w:rFonts w:hint="eastAsia" w:ascii="Times New Roman" w:hAnsi="Times New Roman" w:eastAsia="仿宋_GB2312" w:cs="仿宋_GB2312"/>
          <w:spacing w:val="-4"/>
          <w:sz w:val="32"/>
          <w:szCs w:val="32"/>
          <w:lang w:eastAsia="zh-CN"/>
        </w:rPr>
        <w:t>由于鼎城投资有限公司法人周成的资产已全部处置，已无可执行资产，乐至县债务人刘玲无钱支付鼎城投资有限公司法人周成，集资群体稳控较为困难</w:t>
      </w:r>
      <w:r>
        <w:rPr>
          <w:rFonts w:hint="eastAsia" w:ascii="Times New Roman" w:hAnsi="Times New Roman" w:eastAsia="仿宋_GB2312" w:cs="仿宋_GB2312"/>
          <w:spacing w:val="-4"/>
          <w:sz w:val="32"/>
          <w:szCs w:val="32"/>
        </w:rPr>
        <w:t>。</w:t>
      </w:r>
    </w:p>
    <w:p>
      <w:pPr>
        <w:pStyle w:val="2"/>
        <w:keepNext w:val="0"/>
        <w:keepLines w:val="0"/>
        <w:pageBreakBefore w:val="0"/>
        <w:widowControl w:val="0"/>
        <w:kinsoku/>
        <w:wordWrap/>
        <w:overflowPunct/>
        <w:topLinePunct w:val="0"/>
        <w:autoSpaceDN/>
        <w:bidi w:val="0"/>
        <w:adjustRightInd w:val="0"/>
        <w:snapToGrid w:val="0"/>
        <w:spacing w:line="550" w:lineRule="exact"/>
        <w:ind w:left="0" w:right="0" w:firstLine="627" w:firstLineChars="200"/>
        <w:rPr>
          <w:rFonts w:hint="eastAsia" w:ascii="Times New Roman" w:hAnsi="Times New Roman" w:eastAsia="楷体_GB2312" w:cs="Times New Roman"/>
          <w:b/>
          <w:color w:val="000000" w:themeColor="text1"/>
          <w:spacing w:val="-4"/>
          <w:kern w:val="2"/>
          <w:sz w:val="32"/>
          <w:szCs w:val="24"/>
          <w:lang w:val="en-US" w:eastAsia="zh-CN" w:bidi="ar-SA"/>
          <w14:textFill>
            <w14:solidFill>
              <w14:schemeClr w14:val="tx1"/>
            </w14:solidFill>
          </w14:textFill>
        </w:rPr>
      </w:pPr>
      <w:r>
        <w:rPr>
          <w:rFonts w:hint="eastAsia" w:ascii="Times New Roman" w:hAnsi="Times New Roman" w:eastAsia="楷体_GB2312" w:cs="Times New Roman"/>
          <w:b/>
          <w:color w:val="000000" w:themeColor="text1"/>
          <w:spacing w:val="-4"/>
          <w:kern w:val="2"/>
          <w:sz w:val="32"/>
          <w:szCs w:val="24"/>
          <w:lang w:val="en-US" w:eastAsia="zh-CN" w:bidi="ar-SA"/>
          <w14:textFill>
            <w14:solidFill>
              <w14:schemeClr w14:val="tx1"/>
            </w14:solidFill>
          </w14:textFill>
        </w:rPr>
        <w:t>（三）工作建议</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50" w:lineRule="exact"/>
        <w:ind w:left="0" w:right="0" w:firstLine="627" w:firstLineChars="200"/>
        <w:jc w:val="both"/>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b/>
          <w:bCs/>
          <w:spacing w:val="-4"/>
          <w:sz w:val="32"/>
          <w:szCs w:val="32"/>
          <w:lang w:val="en-US" w:eastAsia="zh-CN"/>
        </w:rPr>
        <w:t>一是</w:t>
      </w:r>
      <w:r>
        <w:rPr>
          <w:rFonts w:hint="eastAsia" w:ascii="Times New Roman" w:hAnsi="Times New Roman" w:eastAsia="仿宋_GB2312" w:cs="仿宋_GB2312"/>
          <w:spacing w:val="-4"/>
          <w:sz w:val="32"/>
          <w:szCs w:val="32"/>
          <w:lang w:val="en-US" w:eastAsia="zh-CN"/>
        </w:rPr>
        <w:t>加强部门协调配合，积极为集资群众答疑解惑。县法院进一步加强与乐至县法院的联系，及时掌握乐至县债务人刘玲的相关情况并向集资群众通报。</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50" w:lineRule="exact"/>
        <w:ind w:left="0" w:right="0" w:firstLine="627" w:firstLineChars="200"/>
        <w:jc w:val="both"/>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b/>
          <w:bCs/>
          <w:spacing w:val="-4"/>
          <w:sz w:val="32"/>
          <w:szCs w:val="32"/>
          <w:lang w:val="en-US" w:eastAsia="zh-CN"/>
        </w:rPr>
        <w:t>二是</w:t>
      </w:r>
      <w:r>
        <w:rPr>
          <w:rFonts w:hint="eastAsia" w:ascii="Times New Roman" w:hAnsi="Times New Roman" w:eastAsia="仿宋_GB2312" w:cs="仿宋_GB2312"/>
          <w:spacing w:val="-4"/>
          <w:sz w:val="32"/>
          <w:szCs w:val="32"/>
          <w:lang w:val="en-US" w:eastAsia="zh-CN"/>
        </w:rPr>
        <w:t>县法院、县公安局继续督促周成筹集资金，加大还款力度；加强对周成的监督，采取一切有效执行措施，加大涉案财产处置力度，最大可能保障涉案群众的财产安全。</w:t>
      </w:r>
    </w:p>
    <w:p>
      <w:pPr>
        <w:keepNext w:val="0"/>
        <w:keepLines w:val="0"/>
        <w:pageBreakBefore w:val="0"/>
        <w:widowControl w:val="0"/>
        <w:kinsoku/>
        <w:wordWrap/>
        <w:overflowPunct/>
        <w:topLinePunct w:val="0"/>
        <w:autoSpaceDE/>
        <w:autoSpaceDN/>
        <w:bidi w:val="0"/>
        <w:adjustRightInd w:val="0"/>
        <w:snapToGrid w:val="0"/>
        <w:spacing w:line="550" w:lineRule="exact"/>
        <w:ind w:leftChars="0" w:firstLine="627" w:firstLineChars="200"/>
        <w:textAlignment w:val="auto"/>
        <w:rPr>
          <w:rFonts w:hint="eastAsia" w:ascii="Times New Roman" w:hAnsi="Times New Roman" w:eastAsia="仿宋_GB2312" w:cs="仿宋_GB2312"/>
          <w:b w:val="0"/>
          <w:bCs/>
          <w:color w:val="000000" w:themeColor="text1"/>
          <w:spacing w:val="-4"/>
          <w:sz w:val="32"/>
          <w:szCs w:val="32"/>
          <w14:textFill>
            <w14:solidFill>
              <w14:schemeClr w14:val="tx1"/>
            </w14:solidFill>
          </w14:textFill>
        </w:rPr>
      </w:pPr>
      <w:r>
        <w:rPr>
          <w:rFonts w:hint="eastAsia" w:ascii="Times New Roman" w:hAnsi="Times New Roman" w:eastAsia="仿宋_GB2312" w:cs="仿宋_GB2312"/>
          <w:b/>
          <w:bCs/>
          <w:spacing w:val="-4"/>
          <w:sz w:val="32"/>
          <w:szCs w:val="32"/>
          <w:lang w:val="en-US" w:eastAsia="zh-CN"/>
        </w:rPr>
        <w:t>三是</w:t>
      </w:r>
      <w:r>
        <w:rPr>
          <w:rFonts w:hint="eastAsia" w:ascii="Times New Roman" w:hAnsi="Times New Roman" w:eastAsia="仿宋_GB2312" w:cs="仿宋_GB2312"/>
          <w:spacing w:val="-4"/>
          <w:sz w:val="32"/>
          <w:szCs w:val="32"/>
          <w:lang w:val="en-US" w:eastAsia="zh-CN"/>
        </w:rPr>
        <w:t>县商务经合局积极收集、掌握、了解集资群众的诉求，主动收集周成资产及收入情况，鼓励群众提供相关线索，并及时向相关部门报告核实。同时做好群众解释和情绪疏导工作，确保社会稳定。</w:t>
      </w:r>
    </w:p>
    <w:p>
      <w:pPr>
        <w:keepNext w:val="0"/>
        <w:keepLines w:val="0"/>
        <w:pageBreakBefore w:val="0"/>
        <w:widowControl w:val="0"/>
        <w:kinsoku/>
        <w:overflowPunct/>
        <w:topLinePunct w:val="0"/>
        <w:autoSpaceDN/>
        <w:bidi w:val="0"/>
        <w:spacing w:line="550" w:lineRule="exact"/>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widowControl w:val="0"/>
        <w:kinsoku/>
        <w:wordWrap w:val="0"/>
        <w:overflowPunct/>
        <w:topLinePunct w:val="0"/>
        <w:autoSpaceDE/>
        <w:autoSpaceDN/>
        <w:bidi w:val="0"/>
        <w:adjustRightInd w:val="0"/>
        <w:snapToGrid w:val="0"/>
        <w:spacing w:line="550" w:lineRule="exact"/>
        <w:ind w:right="0" w:rightChars="0" w:firstLine="624" w:firstLineChars="20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50" w:lineRule="exact"/>
        <w:ind w:right="0" w:firstLine="624" w:firstLineChars="200"/>
        <w:jc w:val="right"/>
        <w:rPr>
          <w:rFonts w:hint="default" w:ascii="Times New Roman" w:hAnsi="Times New Roman" w:cs="Times New Roman"/>
          <w:spacing w:val="-4"/>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6</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sectPr>
      <w:footerReference r:id="rId3" w:type="default"/>
      <w:pgSz w:w="11906" w:h="16838"/>
      <w:pgMar w:top="1928" w:right="1474" w:bottom="1928" w:left="1587" w:header="851" w:footer="992"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汉仪中黑 197">
    <w:panose1 w:val="00020600040101010101"/>
    <w:charset w:val="86"/>
    <w:family w:val="auto"/>
    <w:pitch w:val="default"/>
    <w:sig w:usb0="A00002BF" w:usb1="18E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-351790</wp:posOffset>
              </wp:positionV>
              <wp:extent cx="1008380" cy="4451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08380" cy="4451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7.7pt;height:35.05pt;width:79.4pt;mso-position-horizontal:outside;mso-position-horizontal-relative:margin;z-index:251659264;mso-width-relative:page;mso-height-relative:page;" filled="f" stroked="f" coordsize="21600,21600" o:gfxdata="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BuPC71gAAAAcBAAAPAAAAAAAAAAEAIAAAACIAAABkcnMvZG93bnJl&#10;di54bWxQSwECFAAUAAAACACHTuJAiGsfTzgCAABiBAAADgAAAAAAAAABACAAAAAlAQAAZHJzL2Uy&#10;b0RvYy54bWxQSwUGAAAAAAYABgBZAQAAzwUAAAAA&#10;">
              <v:fill on="f" focussize="0,0"/>
              <v:stroke on="f" weight="0.5pt"/>
              <v:imagedata o:title=""/>
              <o:lock v:ext="edit" aspectratio="f"/>
              <v:textbox inset="0mm,0mm,0mm,0mm">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F3E32"/>
    <w:multiLevelType w:val="singleLevel"/>
    <w:tmpl w:val="568F3E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531C09"/>
    <w:rsid w:val="00AA3CEC"/>
    <w:rsid w:val="01145609"/>
    <w:rsid w:val="01193968"/>
    <w:rsid w:val="01DF6163"/>
    <w:rsid w:val="02A66735"/>
    <w:rsid w:val="031A67DB"/>
    <w:rsid w:val="04BC470B"/>
    <w:rsid w:val="04BD4777"/>
    <w:rsid w:val="051C166B"/>
    <w:rsid w:val="05485881"/>
    <w:rsid w:val="055E32F7"/>
    <w:rsid w:val="07D77390"/>
    <w:rsid w:val="096536DF"/>
    <w:rsid w:val="097529BD"/>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5510782"/>
    <w:rsid w:val="15D82EC7"/>
    <w:rsid w:val="17143815"/>
    <w:rsid w:val="17471E3D"/>
    <w:rsid w:val="174A7237"/>
    <w:rsid w:val="19037FE5"/>
    <w:rsid w:val="19131119"/>
    <w:rsid w:val="193006AE"/>
    <w:rsid w:val="19616ABA"/>
    <w:rsid w:val="1AE33D18"/>
    <w:rsid w:val="1C095F04"/>
    <w:rsid w:val="1C4032FE"/>
    <w:rsid w:val="1D41732E"/>
    <w:rsid w:val="1D9E78F3"/>
    <w:rsid w:val="1EA21E17"/>
    <w:rsid w:val="1EB54D87"/>
    <w:rsid w:val="1EC458CD"/>
    <w:rsid w:val="1EF06916"/>
    <w:rsid w:val="207B0778"/>
    <w:rsid w:val="207B3599"/>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EAF04A9"/>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CE43E71"/>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007CAB"/>
    <w:rsid w:val="72347A3D"/>
    <w:rsid w:val="728A58AF"/>
    <w:rsid w:val="72B621DC"/>
    <w:rsid w:val="73ED07EB"/>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2">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spacing w:after="120"/>
      <w:ind w:left="420" w:leftChars="200"/>
    </w:pPr>
    <w:rPr>
      <w:rFonts w:ascii="Times New Roman" w:hAnsi="Times New Roman" w:eastAsia="宋体" w:cs="Times New Roman"/>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2">
    <w:name w:val="Body Text First Indent 2"/>
    <w:basedOn w:val="5"/>
    <w:autoRedefine/>
    <w:qFormat/>
    <w:uiPriority w:val="0"/>
    <w:pPr>
      <w:ind w:firstLine="420" w:firstLineChars="200"/>
    </w:pPr>
    <w:rPr>
      <w:rFonts w:ascii="Times New Roman" w:hAnsi="Times New Roman" w:eastAsia="宋体" w:cs="Times New Roman"/>
    </w:rPr>
  </w:style>
  <w:style w:type="paragraph" w:customStyle="1" w:styleId="15">
    <w:name w:val="footer1"/>
    <w:basedOn w:val="1"/>
    <w:autoRedefine/>
    <w:qFormat/>
    <w:uiPriority w:val="0"/>
    <w:pPr>
      <w:tabs>
        <w:tab w:val="center" w:pos="4153"/>
        <w:tab w:val="right" w:pos="8306"/>
      </w:tabs>
      <w:snapToGrid w:val="0"/>
      <w:jc w:val="left"/>
    </w:pPr>
    <w:rPr>
      <w:sz w:val="18"/>
    </w:rPr>
  </w:style>
  <w:style w:type="paragraph" w:customStyle="1" w:styleId="16">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7">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8">
    <w:name w:val="节标题"/>
    <w:basedOn w:val="1"/>
    <w:next w:val="1"/>
    <w:autoRedefine/>
    <w:qFormat/>
    <w:uiPriority w:val="99"/>
    <w:pPr>
      <w:spacing w:line="289" w:lineRule="atLeast"/>
      <w:jc w:val="center"/>
      <w:textAlignment w:val="baseline"/>
    </w:pPr>
    <w:rPr>
      <w:color w:val="000000"/>
      <w:sz w:val="28"/>
    </w:rPr>
  </w:style>
  <w:style w:type="paragraph" w:customStyle="1" w:styleId="19">
    <w:name w:val="UserStyle_0"/>
    <w:basedOn w:val="20"/>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20">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1">
    <w:name w:val="NormalCharacter"/>
    <w:link w:val="1"/>
    <w:autoRedefine/>
    <w:semiHidden/>
    <w:qFormat/>
    <w:uiPriority w:val="0"/>
  </w:style>
  <w:style w:type="table" w:customStyle="1" w:styleId="22">
    <w:name w:val="TableNormal"/>
    <w:autoRedefine/>
    <w:semiHidden/>
    <w:qFormat/>
    <w:uiPriority w:val="0"/>
  </w:style>
  <w:style w:type="paragraph" w:customStyle="1" w:styleId="23">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 w:type="paragraph" w:customStyle="1" w:styleId="24">
    <w:name w:val="Body text|1"/>
    <w:basedOn w:val="1"/>
    <w:qFormat/>
    <w:uiPriority w:val="0"/>
    <w:pPr>
      <w:spacing w:line="451" w:lineRule="auto"/>
      <w:ind w:firstLine="400"/>
      <w:jc w:val="left"/>
    </w:pPr>
    <w:rPr>
      <w:rFonts w:ascii="宋体" w:hAnsi="宋体" w:eastAsia="宋体" w:cs="宋体"/>
      <w:sz w:val="26"/>
      <w:szCs w:val="26"/>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4030</Words>
  <Characters>4322</Characters>
  <Lines>0</Lines>
  <Paragraphs>0</Paragraphs>
  <TotalTime>21</TotalTime>
  <ScaleCrop>false</ScaleCrop>
  <LinksUpToDate>false</LinksUpToDate>
  <CharactersWithSpaces>4334</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2024-05-09T08:37:19Z</cp:lastPrinted>
  <dcterms:modified xsi:type="dcterms:W3CDTF">2024-05-09T08:41:58Z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0DFFA4D2F76048A988E12517CECD47E0_13</vt:lpwstr>
  </property>
</Properties>
</file>